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60" w:lineRule="exact"/>
        <w:contextualSpacing/>
        <w:rPr>
          <w:rFonts w:ascii="方正黑体_GBK" w:hAnsi="黑体" w:eastAsia="方正黑体_GBK"/>
          <w:sz w:val="32"/>
          <w:szCs w:val="32"/>
        </w:rPr>
      </w:pPr>
    </w:p>
    <w:p>
      <w:pPr>
        <w:pageBreakBefore w:val="0"/>
        <w:kinsoku/>
        <w:wordWrap/>
        <w:overflowPunct/>
        <w:topLinePunct w:val="0"/>
        <w:autoSpaceDE/>
        <w:autoSpaceDN/>
        <w:bidi w:val="0"/>
        <w:adjustRightInd/>
        <w:spacing w:line="560" w:lineRule="exact"/>
        <w:contextualSpacing/>
        <w:rPr>
          <w:rFonts w:ascii="方正黑体_GBK" w:hAnsi="黑体" w:eastAsia="方正黑体_GBK"/>
          <w:sz w:val="32"/>
          <w:szCs w:val="32"/>
        </w:rPr>
      </w:pPr>
    </w:p>
    <w:p>
      <w:pPr>
        <w:pageBreakBefore w:val="0"/>
        <w:kinsoku/>
        <w:wordWrap/>
        <w:overflowPunct/>
        <w:topLinePunct w:val="0"/>
        <w:autoSpaceDE/>
        <w:autoSpaceDN/>
        <w:bidi w:val="0"/>
        <w:adjustRightInd/>
        <w:spacing w:line="560" w:lineRule="exact"/>
        <w:jc w:val="center"/>
        <w:rPr>
          <w:rFonts w:hint="eastAsia" w:ascii="方正小标宋_GBK" w:hAnsi="方正小标宋_GBK" w:eastAsia="方正小标宋_GBK" w:cs="方正小标宋_GBK"/>
          <w:b w:val="0"/>
          <w:bCs/>
          <w:kern w:val="0"/>
          <w:sz w:val="44"/>
          <w:szCs w:val="44"/>
        </w:rPr>
      </w:pPr>
      <w:r>
        <w:rPr>
          <w:rFonts w:hint="eastAsia" w:ascii="方正小标宋_GBK" w:hAnsi="方正小标宋_GBK" w:eastAsia="方正小标宋_GBK" w:cs="方正小标宋_GBK"/>
          <w:b w:val="0"/>
          <w:bCs/>
          <w:kern w:val="0"/>
          <w:sz w:val="44"/>
          <w:szCs w:val="44"/>
        </w:rPr>
        <w:t>塔城地区文化体育广播电视和旅游局</w:t>
      </w:r>
    </w:p>
    <w:p>
      <w:pPr>
        <w:pageBreakBefore w:val="0"/>
        <w:kinsoku/>
        <w:wordWrap/>
        <w:overflowPunct/>
        <w:topLinePunct w:val="0"/>
        <w:autoSpaceDE/>
        <w:autoSpaceDN/>
        <w:bidi w:val="0"/>
        <w:adjustRightInd/>
        <w:spacing w:line="560" w:lineRule="exact"/>
        <w:jc w:val="center"/>
        <w:rPr>
          <w:rFonts w:hint="eastAsia" w:ascii="方正小标宋_GBK" w:hAnsi="方正小标宋_GBK" w:eastAsia="方正小标宋_GBK" w:cs="方正小标宋_GBK"/>
          <w:b w:val="0"/>
          <w:bCs/>
          <w:kern w:val="0"/>
          <w:sz w:val="44"/>
          <w:szCs w:val="44"/>
        </w:rPr>
      </w:pPr>
      <w:r>
        <w:rPr>
          <w:rFonts w:hint="eastAsia" w:ascii="方正小标宋_GBK" w:hAnsi="方正小标宋_GBK" w:eastAsia="方正小标宋_GBK" w:cs="方正小标宋_GBK"/>
          <w:b w:val="0"/>
          <w:bCs/>
          <w:kern w:val="0"/>
          <w:sz w:val="44"/>
          <w:szCs w:val="44"/>
        </w:rPr>
        <w:t>塔城文化中心提升改造项目绩效评价报告</w:t>
      </w:r>
    </w:p>
    <w:p>
      <w:pPr>
        <w:pageBreakBefore w:val="0"/>
        <w:kinsoku/>
        <w:wordWrap/>
        <w:overflowPunct/>
        <w:topLinePunct w:val="0"/>
        <w:autoSpaceDE/>
        <w:autoSpaceDN/>
        <w:bidi w:val="0"/>
        <w:adjustRightInd/>
        <w:spacing w:line="560" w:lineRule="exact"/>
        <w:contextualSpacing/>
        <w:jc w:val="center"/>
        <w:rPr>
          <w:rFonts w:ascii="方正黑体_GBK" w:hAnsi="黑体" w:eastAsia="方正黑体_GBK"/>
          <w:sz w:val="32"/>
          <w:szCs w:val="32"/>
        </w:rPr>
      </w:pPr>
    </w:p>
    <w:p>
      <w:pPr>
        <w:pageBreakBefore w:val="0"/>
        <w:kinsoku/>
        <w:wordWrap/>
        <w:overflowPunct/>
        <w:topLinePunct w:val="0"/>
        <w:autoSpaceDE/>
        <w:autoSpaceDN/>
        <w:bidi w:val="0"/>
        <w:adjustRightInd/>
        <w:spacing w:line="560" w:lineRule="exact"/>
        <w:contextualSpacing/>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（2020年度）</w:t>
      </w:r>
    </w:p>
    <w:p>
      <w:pPr>
        <w:pageBreakBefore w:val="0"/>
        <w:kinsoku/>
        <w:wordWrap/>
        <w:overflowPunct/>
        <w:topLinePunct w:val="0"/>
        <w:autoSpaceDE/>
        <w:autoSpaceDN/>
        <w:bidi w:val="0"/>
        <w:adjustRightInd/>
        <w:spacing w:line="560" w:lineRule="exact"/>
        <w:contextualSpacing/>
        <w:jc w:val="center"/>
        <w:rPr>
          <w:rFonts w:hint="eastAsia" w:ascii="仿宋_GB2312" w:hAnsi="仿宋_GB2312" w:eastAsia="仿宋_GB2312" w:cs="仿宋_GB2312"/>
          <w:sz w:val="32"/>
          <w:szCs w:val="32"/>
        </w:rPr>
      </w:pPr>
    </w:p>
    <w:p>
      <w:pPr>
        <w:pageBreakBefore w:val="0"/>
        <w:kinsoku/>
        <w:wordWrap/>
        <w:overflowPunct/>
        <w:topLinePunct w:val="0"/>
        <w:autoSpaceDE/>
        <w:autoSpaceDN/>
        <w:bidi w:val="0"/>
        <w:adjustRightInd/>
        <w:spacing w:line="560" w:lineRule="exact"/>
        <w:contextualSpacing/>
        <w:jc w:val="center"/>
        <w:rPr>
          <w:rFonts w:ascii="方正黑体_GBK" w:hAnsi="黑体" w:eastAsia="方正黑体_GBK"/>
          <w:sz w:val="32"/>
          <w:szCs w:val="32"/>
        </w:rPr>
      </w:pPr>
    </w:p>
    <w:p>
      <w:pPr>
        <w:pageBreakBefore w:val="0"/>
        <w:kinsoku/>
        <w:wordWrap/>
        <w:overflowPunct/>
        <w:topLinePunct w:val="0"/>
        <w:autoSpaceDE/>
        <w:autoSpaceDN/>
        <w:bidi w:val="0"/>
        <w:adjustRightInd/>
        <w:spacing w:line="560" w:lineRule="exact"/>
        <w:contextualSpacing/>
        <w:jc w:val="center"/>
        <w:rPr>
          <w:rFonts w:ascii="方正小标宋_GBK" w:hAnsi="宋体" w:eastAsia="方正小标宋_GBK" w:cs="Arial"/>
          <w:b/>
          <w:bCs/>
          <w:sz w:val="44"/>
          <w:szCs w:val="44"/>
        </w:rPr>
      </w:pPr>
    </w:p>
    <w:p>
      <w:pPr>
        <w:pageBreakBefore w:val="0"/>
        <w:kinsoku/>
        <w:wordWrap/>
        <w:overflowPunct/>
        <w:topLinePunct w:val="0"/>
        <w:autoSpaceDE/>
        <w:autoSpaceDN/>
        <w:bidi w:val="0"/>
        <w:adjustRightInd/>
        <w:spacing w:line="560" w:lineRule="exact"/>
        <w:ind w:firstLine="640" w:firstLineChars="200"/>
        <w:contextualSpacing/>
        <w:rPr>
          <w:rFonts w:ascii="方正黑体_GBK" w:hAnsi="黑体" w:eastAsia="方正黑体_GBK"/>
          <w:sz w:val="32"/>
          <w:szCs w:val="32"/>
        </w:rPr>
      </w:pPr>
    </w:p>
    <w:p>
      <w:pPr>
        <w:pageBreakBefore w:val="0"/>
        <w:kinsoku/>
        <w:wordWrap/>
        <w:overflowPunct/>
        <w:topLinePunct w:val="0"/>
        <w:autoSpaceDE/>
        <w:autoSpaceDN/>
        <w:bidi w:val="0"/>
        <w:adjustRightInd/>
        <w:spacing w:line="560" w:lineRule="exact"/>
        <w:ind w:firstLine="640" w:firstLineChars="200"/>
        <w:contextualSpacing/>
        <w:rPr>
          <w:rFonts w:ascii="方正黑体_GBK" w:hAnsi="黑体" w:eastAsia="方正黑体_GBK"/>
          <w:sz w:val="32"/>
          <w:szCs w:val="32"/>
        </w:rPr>
      </w:pPr>
    </w:p>
    <w:p>
      <w:pPr>
        <w:pageBreakBefore w:val="0"/>
        <w:kinsoku/>
        <w:wordWrap/>
        <w:overflowPunct/>
        <w:topLinePunct w:val="0"/>
        <w:autoSpaceDE/>
        <w:autoSpaceDN/>
        <w:bidi w:val="0"/>
        <w:adjustRightInd/>
        <w:spacing w:line="560" w:lineRule="exact"/>
        <w:ind w:left="2558" w:leftChars="304" w:hanging="1920" w:hangingChars="600"/>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项目名称：塔城文化中心提升改造项目</w:t>
      </w:r>
    </w:p>
    <w:p>
      <w:pPr>
        <w:pageBreakBefore w:val="0"/>
        <w:kinsoku/>
        <w:wordWrap/>
        <w:overflowPunct/>
        <w:topLinePunct w:val="0"/>
        <w:autoSpaceDE/>
        <w:autoSpaceDN/>
        <w:bidi w:val="0"/>
        <w:adjustRightInd/>
        <w:spacing w:line="560" w:lineRule="exact"/>
        <w:ind w:firstLine="640" w:firstLineChars="200"/>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项目实施单位：塔城地区文化体育广播电视和旅游局</w:t>
      </w:r>
    </w:p>
    <w:p>
      <w:pPr>
        <w:pageBreakBefore w:val="0"/>
        <w:kinsoku/>
        <w:wordWrap/>
        <w:overflowPunct/>
        <w:topLinePunct w:val="0"/>
        <w:autoSpaceDE/>
        <w:autoSpaceDN/>
        <w:bidi w:val="0"/>
        <w:adjustRightInd/>
        <w:spacing w:line="560" w:lineRule="exact"/>
        <w:ind w:firstLine="640" w:firstLineChars="200"/>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单位负责人：柴红华</w:t>
      </w:r>
    </w:p>
    <w:p>
      <w:pPr>
        <w:pageBreakBefore w:val="0"/>
        <w:kinsoku/>
        <w:wordWrap/>
        <w:overflowPunct/>
        <w:topLinePunct w:val="0"/>
        <w:autoSpaceDE/>
        <w:autoSpaceDN/>
        <w:bidi w:val="0"/>
        <w:adjustRightInd/>
        <w:spacing w:line="560" w:lineRule="exact"/>
        <w:ind w:firstLine="640" w:firstLineChars="200"/>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项目负责人：石蕾</w:t>
      </w:r>
    </w:p>
    <w:p>
      <w:pPr>
        <w:pageBreakBefore w:val="0"/>
        <w:tabs>
          <w:tab w:val="left" w:pos="1134"/>
        </w:tabs>
        <w:kinsoku/>
        <w:wordWrap/>
        <w:overflowPunct/>
        <w:topLinePunct w:val="0"/>
        <w:autoSpaceDE/>
        <w:autoSpaceDN/>
        <w:bidi w:val="0"/>
        <w:adjustRightInd/>
        <w:spacing w:line="560" w:lineRule="exact"/>
        <w:ind w:firstLine="1120" w:firstLineChars="350"/>
        <w:contextualSpacing/>
        <w:rPr>
          <w:rFonts w:hint="eastAsia" w:ascii="仿宋_GB2312" w:hAnsi="仿宋_GB2312" w:eastAsia="仿宋_GB2312" w:cs="仿宋_GB2312"/>
          <w:sz w:val="32"/>
          <w:szCs w:val="32"/>
        </w:rPr>
      </w:pPr>
    </w:p>
    <w:p>
      <w:pPr>
        <w:pageBreakBefore w:val="0"/>
        <w:kinsoku/>
        <w:wordWrap/>
        <w:overflowPunct/>
        <w:topLinePunct w:val="0"/>
        <w:autoSpaceDE/>
        <w:autoSpaceDN/>
        <w:bidi w:val="0"/>
        <w:adjustRightInd/>
        <w:spacing w:line="560" w:lineRule="exact"/>
        <w:contextualSpacing/>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二〇二一年四月</w:t>
      </w:r>
    </w:p>
    <w:p>
      <w:pPr>
        <w:pageBreakBefore w:val="0"/>
        <w:kinsoku/>
        <w:wordWrap/>
        <w:overflowPunct/>
        <w:topLinePunct w:val="0"/>
        <w:autoSpaceDE/>
        <w:autoSpaceDN/>
        <w:bidi w:val="0"/>
        <w:adjustRightInd/>
        <w:spacing w:line="560" w:lineRule="exact"/>
        <w:ind w:firstLine="640" w:firstLineChars="200"/>
        <w:contextualSpacing/>
        <w:rPr>
          <w:rFonts w:hint="eastAsia" w:ascii="仿宋_GB2312" w:hAnsi="仿宋_GB2312" w:eastAsia="仿宋_GB2312" w:cs="仿宋_GB2312"/>
          <w:sz w:val="32"/>
          <w:szCs w:val="32"/>
        </w:rPr>
      </w:pPr>
    </w:p>
    <w:p>
      <w:pPr>
        <w:pageBreakBefore w:val="0"/>
        <w:kinsoku/>
        <w:wordWrap/>
        <w:overflowPunct/>
        <w:topLinePunct w:val="0"/>
        <w:autoSpaceDE/>
        <w:autoSpaceDN/>
        <w:bidi w:val="0"/>
        <w:adjustRightInd/>
        <w:spacing w:line="560" w:lineRule="exact"/>
        <w:ind w:firstLine="640" w:firstLineChars="200"/>
        <w:contextualSpacing/>
        <w:rPr>
          <w:rFonts w:ascii="黑体" w:hAnsi="黑体" w:eastAsia="黑体" w:cs="黑体"/>
          <w:sz w:val="32"/>
          <w:szCs w:val="32"/>
        </w:rPr>
      </w:pPr>
    </w:p>
    <w:p>
      <w:pPr>
        <w:pageBreakBefore w:val="0"/>
        <w:kinsoku/>
        <w:wordWrap/>
        <w:overflowPunct/>
        <w:topLinePunct w:val="0"/>
        <w:autoSpaceDE/>
        <w:autoSpaceDN/>
        <w:bidi w:val="0"/>
        <w:adjustRightInd/>
        <w:spacing w:line="560" w:lineRule="exact"/>
        <w:ind w:firstLine="640" w:firstLineChars="200"/>
        <w:contextualSpacing/>
        <w:rPr>
          <w:rFonts w:ascii="黑体" w:hAnsi="黑体" w:eastAsia="黑体" w:cs="黑体"/>
          <w:sz w:val="32"/>
          <w:szCs w:val="32"/>
        </w:rPr>
      </w:pPr>
    </w:p>
    <w:p>
      <w:pPr>
        <w:pStyle w:val="2"/>
        <w:pageBreakBefore w:val="0"/>
        <w:kinsoku/>
        <w:wordWrap/>
        <w:overflowPunct/>
        <w:topLinePunct w:val="0"/>
        <w:autoSpaceDE/>
        <w:autoSpaceDN/>
        <w:bidi w:val="0"/>
        <w:adjustRightInd/>
        <w:spacing w:line="560" w:lineRule="exact"/>
      </w:pPr>
    </w:p>
    <w:p>
      <w:pPr>
        <w:pageBreakBefore w:val="0"/>
        <w:kinsoku/>
        <w:wordWrap/>
        <w:overflowPunct/>
        <w:topLinePunct w:val="0"/>
        <w:autoSpaceDE/>
        <w:autoSpaceDN/>
        <w:bidi w:val="0"/>
        <w:adjustRightInd/>
        <w:spacing w:line="560" w:lineRule="exact"/>
        <w:ind w:firstLine="640" w:firstLineChars="200"/>
        <w:contextualSpacing/>
        <w:rPr>
          <w:rFonts w:hint="eastAsia" w:ascii="黑体" w:hAnsi="黑体" w:eastAsia="黑体" w:cs="黑体"/>
          <w:sz w:val="32"/>
          <w:szCs w:val="32"/>
        </w:rPr>
      </w:pPr>
    </w:p>
    <w:p>
      <w:pPr>
        <w:pageBreakBefore w:val="0"/>
        <w:kinsoku/>
        <w:wordWrap/>
        <w:overflowPunct/>
        <w:topLinePunct w:val="0"/>
        <w:autoSpaceDE/>
        <w:autoSpaceDN/>
        <w:bidi w:val="0"/>
        <w:adjustRightInd/>
        <w:spacing w:line="560" w:lineRule="exact"/>
        <w:ind w:firstLine="640" w:firstLineChars="200"/>
        <w:contextualSpacing/>
        <w:rPr>
          <w:rFonts w:ascii="黑体" w:hAnsi="黑体" w:eastAsia="黑体" w:cs="黑体"/>
          <w:sz w:val="32"/>
          <w:szCs w:val="32"/>
        </w:rPr>
      </w:pPr>
      <w:r>
        <w:rPr>
          <w:rFonts w:hint="eastAsia" w:ascii="黑体" w:hAnsi="黑体" w:eastAsia="黑体" w:cs="黑体"/>
          <w:sz w:val="32"/>
          <w:szCs w:val="32"/>
        </w:rPr>
        <w:t>一、基本情况</w:t>
      </w:r>
    </w:p>
    <w:p>
      <w:pPr>
        <w:pageBreakBefore w:val="0"/>
        <w:kinsoku/>
        <w:wordWrap/>
        <w:overflowPunct/>
        <w:topLinePunct w:val="0"/>
        <w:autoSpaceDE/>
        <w:autoSpaceDN/>
        <w:bidi w:val="0"/>
        <w:adjustRightInd/>
        <w:spacing w:line="560" w:lineRule="exact"/>
        <w:ind w:firstLine="643" w:firstLineChars="200"/>
        <w:contextualSpacing/>
        <w:rPr>
          <w:rFonts w:ascii="楷体" w:hAnsi="楷体" w:eastAsia="楷体" w:cs="楷体"/>
          <w:b/>
          <w:sz w:val="32"/>
          <w:szCs w:val="32"/>
        </w:rPr>
      </w:pPr>
      <w:r>
        <w:rPr>
          <w:rFonts w:hint="eastAsia" w:ascii="楷体" w:hAnsi="楷体" w:eastAsia="楷体" w:cs="楷体"/>
          <w:b/>
          <w:sz w:val="32"/>
          <w:szCs w:val="32"/>
        </w:rPr>
        <w:t>（一）项目概况</w:t>
      </w:r>
    </w:p>
    <w:p>
      <w:pPr>
        <w:pageBreakBefore w:val="0"/>
        <w:kinsoku/>
        <w:wordWrap/>
        <w:overflowPunct/>
        <w:topLinePunct w:val="0"/>
        <w:autoSpaceDE/>
        <w:autoSpaceDN/>
        <w:bidi w:val="0"/>
        <w:adjustRightInd/>
        <w:spacing w:line="560" w:lineRule="exact"/>
        <w:ind w:firstLine="643" w:firstLineChars="200"/>
        <w:rPr>
          <w:rFonts w:ascii="仿宋_GB2312" w:hAnsi="仿宋" w:eastAsia="仿宋_GB2312" w:cs="仿宋"/>
          <w:b/>
          <w:bCs/>
          <w:sz w:val="32"/>
          <w:szCs w:val="32"/>
        </w:rPr>
      </w:pPr>
      <w:r>
        <w:rPr>
          <w:rFonts w:hint="eastAsia" w:ascii="仿宋_GB2312" w:hAnsi="仿宋" w:eastAsia="仿宋_GB2312" w:cs="仿宋"/>
          <w:b/>
          <w:bCs/>
          <w:sz w:val="32"/>
          <w:szCs w:val="32"/>
        </w:rPr>
        <w:t>1、项目背景、历史概况</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文化娱乐生活已经是现代社会人们生活的重要组成部分，文化经济是城市现代化的重要标志之一。作为休闲娱乐经济的重要组成部分，文化娱乐经济是衡量一座城市经济发展水平、居民生活质量和环境投资的“晴雨表”。塔城地区的文化生活、消费显得颇为单调，除了 KTV、电影院外，市民几乎想不到别的可以文化消遣消费娱乐的场所。塔城地区的快速城镇化进程，已经具备了发展“文化娱乐经济”的硬件条件。随着经济快速发展、生活质量的提高以及人们消费观念的更新和休闲时间的增多，文化娱乐经济逐渐成为城市经济的重要组成部分。为推进文化中心文化娱乐旅游配套设施建设，能够为市民群众提供更加丰富、充实、安全、便利的夜生活，提高人民群众生活品质；有利于促进各行业之间的互动，取长补短，实现塔城地区文化娱乐经济高起点、跨越式发展；有利于促进文化旅游行业的发展，培育现代旅游服务业的新增点；有利于提高城市的知名度和美誉度，提升城市的竞争力和影响力，为塔城市再造一张“金名片”；有利于推进文化娱乐设施建设，有效提升城市环境。因此改造完善文化旅游设施反映塔城地区的文化面貌，不仅有利于全面深入展示塔城地区独具特色的文化资源、深刻反映塔城地区践行习近平生态文明思想的巨大成果，而且有利于与手风琴展厅、民俗展厅等形成聚合效应，丰富充实塔城旅游业态，对塔城地区民俗展示、文化旅游都具有重要的现实意义。为充分展示“手风琴展厅、油画展厅、书画苑、民俗展厅”的城市风采和新兴之城特色，对加强城乡规划、建设和管理，扩大城市规模，完善城市功能，美化城市环境，提升城市品质，着力打造绿色现代塔城城市，是塔城市提出的城市建设思路之一。根据这一思路，塔城市积极开展城市美化建设，推进“城市形象提升工程”建设，完善城市规划，拓展城市新区，开展城市景观改造，完善市政和公共服务基础设施，加大城市市容环境综合整治力度，创新城市管理运行机制，提升城市建设品位和综合实力。</w:t>
      </w:r>
    </w:p>
    <w:p>
      <w:pPr>
        <w:pageBreakBefore w:val="0"/>
        <w:numPr>
          <w:ilvl w:val="0"/>
          <w:numId w:val="0"/>
        </w:numPr>
        <w:kinsoku/>
        <w:wordWrap/>
        <w:overflowPunct/>
        <w:topLinePunct w:val="0"/>
        <w:autoSpaceDE/>
        <w:autoSpaceDN/>
        <w:bidi w:val="0"/>
        <w:adjustRightInd/>
        <w:spacing w:line="560" w:lineRule="exact"/>
        <w:ind w:firstLine="643" w:firstLineChars="200"/>
        <w:rPr>
          <w:rFonts w:hint="eastAsia" w:ascii="仿宋_GB2312" w:hAnsi="仿宋" w:eastAsia="仿宋_GB2312" w:cs="仿宋"/>
          <w:sz w:val="32"/>
          <w:szCs w:val="32"/>
        </w:rPr>
      </w:pPr>
      <w:r>
        <w:rPr>
          <w:rFonts w:hint="eastAsia" w:ascii="仿宋_GB2312" w:hAnsi="仿宋" w:eastAsia="仿宋_GB2312" w:cs="仿宋"/>
          <w:b/>
          <w:bCs/>
          <w:sz w:val="32"/>
          <w:szCs w:val="32"/>
          <w:lang w:val="en-US" w:eastAsia="zh-CN"/>
        </w:rPr>
        <w:t>2.</w:t>
      </w:r>
      <w:r>
        <w:rPr>
          <w:rFonts w:hint="eastAsia" w:ascii="仿宋_GB2312" w:hAnsi="仿宋" w:eastAsia="仿宋_GB2312" w:cs="仿宋"/>
          <w:b/>
          <w:bCs/>
          <w:sz w:val="32"/>
          <w:szCs w:val="32"/>
        </w:rPr>
        <w:t>项目主要内容及实施情况</w:t>
      </w:r>
      <w:r>
        <w:rPr>
          <w:rFonts w:hint="eastAsia" w:ascii="仿宋_GB2312" w:hAnsi="仿宋" w:eastAsia="仿宋_GB2312" w:cs="仿宋"/>
          <w:sz w:val="32"/>
          <w:szCs w:val="32"/>
        </w:rPr>
        <w:t>：</w:t>
      </w:r>
    </w:p>
    <w:p>
      <w:pPr>
        <w:pageBreakBefore w:val="0"/>
        <w:numPr>
          <w:ilvl w:val="0"/>
          <w:numId w:val="0"/>
        </w:numPr>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项目改造文化中心四个展厅 3456平方米，其中改造手风琴展厅 900 平方米，改造油画展厅 836 平方米，改造书画苑 900 平方米,改造民俗展厅 820 平方米 及 附属设施设备。设计方案和经费预算方案均通过各有关部门的审核。资金为地方政府债券资金和自筹资金，通过公开招标和邀请招标方式最终由新疆庭安建设工程有限公司和新疆百成建设工程有限公司中标，采购合同中标价1853.85万元，资金为专项债券和自筹资金安排。</w:t>
      </w:r>
    </w:p>
    <w:p>
      <w:pPr>
        <w:pStyle w:val="2"/>
        <w:pageBreakBefore w:val="0"/>
        <w:kinsoku/>
        <w:wordWrap/>
        <w:overflowPunct/>
        <w:topLinePunct w:val="0"/>
        <w:autoSpaceDE/>
        <w:autoSpaceDN/>
        <w:bidi w:val="0"/>
        <w:adjustRightInd/>
        <w:spacing w:line="560" w:lineRule="exact"/>
        <w:rPr>
          <w:rFonts w:ascii="仿宋_GB2312" w:hAnsi="仿宋" w:eastAsia="仿宋_GB2312" w:cs="仿宋"/>
          <w:sz w:val="32"/>
          <w:szCs w:val="32"/>
        </w:rPr>
      </w:pPr>
      <w:r>
        <w:rPr>
          <w:rFonts w:hint="eastAsia"/>
        </w:rPr>
        <w:t xml:space="preserve">       </w:t>
      </w:r>
      <w:r>
        <w:rPr>
          <w:rFonts w:hint="eastAsia" w:ascii="仿宋_GB2312" w:hAnsi="仿宋" w:eastAsia="仿宋_GB2312" w:cs="仿宋"/>
          <w:sz w:val="32"/>
          <w:szCs w:val="32"/>
        </w:rPr>
        <w:t>本项目总投资1000万元，财政拨款1000万元。项目实际支出1000万元，支出率为100%。</w:t>
      </w:r>
    </w:p>
    <w:p>
      <w:pPr>
        <w:pStyle w:val="19"/>
        <w:pageBreakBefore w:val="0"/>
        <w:kinsoku/>
        <w:wordWrap/>
        <w:overflowPunct/>
        <w:topLinePunct w:val="0"/>
        <w:autoSpaceDE/>
        <w:autoSpaceDN/>
        <w:bidi w:val="0"/>
        <w:adjustRightInd/>
        <w:spacing w:line="560" w:lineRule="exact"/>
        <w:ind w:firstLine="707" w:firstLineChars="221"/>
        <w:rPr>
          <w:rFonts w:ascii="仿宋" w:hAnsi="仿宋" w:eastAsia="仿宋" w:cs="仿宋"/>
          <w:sz w:val="32"/>
          <w:szCs w:val="32"/>
        </w:rPr>
      </w:pPr>
      <w:r>
        <w:rPr>
          <w:rFonts w:hint="eastAsia" w:ascii="仿宋" w:hAnsi="仿宋" w:eastAsia="仿宋" w:cs="仿宋"/>
          <w:sz w:val="32"/>
          <w:szCs w:val="32"/>
        </w:rPr>
        <w:t>塔城文化中心提升改造项目专项经费实际使用统计表</w:t>
      </w:r>
    </w:p>
    <w:p>
      <w:pPr>
        <w:pageBreakBefore w:val="0"/>
        <w:widowControl/>
        <w:kinsoku/>
        <w:wordWrap/>
        <w:overflowPunct/>
        <w:topLinePunct w:val="0"/>
        <w:autoSpaceDE/>
        <w:autoSpaceDN/>
        <w:bidi w:val="0"/>
        <w:adjustRightInd/>
        <w:spacing w:line="560" w:lineRule="exact"/>
        <w:jc w:val="center"/>
        <w:textAlignment w:val="bottom"/>
        <w:rPr>
          <w:rFonts w:ascii="宋体" w:hAnsi="宋体" w:cs="宋体"/>
          <w:color w:val="000000"/>
          <w:kern w:val="0"/>
          <w:sz w:val="20"/>
          <w:szCs w:val="20"/>
        </w:rPr>
      </w:pPr>
    </w:p>
    <w:tbl>
      <w:tblPr>
        <w:tblStyle w:val="12"/>
        <w:tblW w:w="9060" w:type="dxa"/>
        <w:tblInd w:w="0" w:type="dxa"/>
        <w:tblLayout w:type="fixed"/>
        <w:tblCellMar>
          <w:top w:w="0" w:type="dxa"/>
          <w:left w:w="108" w:type="dxa"/>
          <w:bottom w:w="0" w:type="dxa"/>
          <w:right w:w="108" w:type="dxa"/>
        </w:tblCellMar>
      </w:tblPr>
      <w:tblGrid>
        <w:gridCol w:w="1463"/>
        <w:gridCol w:w="4489"/>
        <w:gridCol w:w="3108"/>
      </w:tblGrid>
      <w:tr>
        <w:tblPrEx>
          <w:tblCellMar>
            <w:top w:w="0" w:type="dxa"/>
            <w:left w:w="108" w:type="dxa"/>
            <w:bottom w:w="0" w:type="dxa"/>
            <w:right w:w="108" w:type="dxa"/>
          </w:tblCellMar>
        </w:tblPrEx>
        <w:trPr>
          <w:trHeight w:val="510" w:hRule="exact"/>
        </w:trPr>
        <w:tc>
          <w:tcPr>
            <w:tcW w:w="1463"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序号</w:t>
            </w:r>
          </w:p>
        </w:tc>
        <w:tc>
          <w:tcPr>
            <w:tcW w:w="4489" w:type="dxa"/>
            <w:tcBorders>
              <w:top w:val="single" w:color="auto" w:sz="4" w:space="0"/>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项目内容及名称</w:t>
            </w:r>
          </w:p>
        </w:tc>
        <w:tc>
          <w:tcPr>
            <w:tcW w:w="3108" w:type="dxa"/>
            <w:tcBorders>
              <w:top w:val="single" w:color="auto" w:sz="4" w:space="0"/>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项目经费支出（万元）</w:t>
            </w:r>
          </w:p>
        </w:tc>
      </w:tr>
      <w:tr>
        <w:tblPrEx>
          <w:tblCellMar>
            <w:top w:w="0" w:type="dxa"/>
            <w:left w:w="108" w:type="dxa"/>
            <w:bottom w:w="0" w:type="dxa"/>
            <w:right w:w="108" w:type="dxa"/>
          </w:tblCellMar>
        </w:tblPrEx>
        <w:trPr>
          <w:trHeight w:val="1155" w:hRule="exact"/>
        </w:trPr>
        <w:tc>
          <w:tcPr>
            <w:tcW w:w="1463"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1</w:t>
            </w:r>
          </w:p>
        </w:tc>
        <w:tc>
          <w:tcPr>
            <w:tcW w:w="4489"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60" w:lineRule="exact"/>
              <w:rPr>
                <w:rFonts w:ascii="仿宋" w:hAnsi="仿宋" w:eastAsia="仿宋" w:cs="仿宋"/>
                <w:sz w:val="32"/>
                <w:szCs w:val="32"/>
              </w:rPr>
            </w:pPr>
            <w:r>
              <w:rPr>
                <w:rFonts w:hint="eastAsia" w:ascii="仿宋" w:hAnsi="仿宋" w:eastAsia="仿宋" w:cs="仿宋"/>
                <w:sz w:val="32"/>
                <w:szCs w:val="32"/>
              </w:rPr>
              <w:t>塔城文化中心提升改造项目</w:t>
            </w:r>
          </w:p>
        </w:tc>
        <w:tc>
          <w:tcPr>
            <w:tcW w:w="310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sz w:val="32"/>
                <w:szCs w:val="32"/>
              </w:rPr>
              <w:t>1000</w:t>
            </w:r>
          </w:p>
        </w:tc>
      </w:tr>
      <w:tr>
        <w:tblPrEx>
          <w:tblCellMar>
            <w:top w:w="0" w:type="dxa"/>
            <w:left w:w="108" w:type="dxa"/>
            <w:bottom w:w="0" w:type="dxa"/>
            <w:right w:w="108" w:type="dxa"/>
          </w:tblCellMar>
        </w:tblPrEx>
        <w:trPr>
          <w:trHeight w:val="510" w:hRule="exact"/>
        </w:trPr>
        <w:tc>
          <w:tcPr>
            <w:tcW w:w="59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合计</w:t>
            </w:r>
          </w:p>
        </w:tc>
        <w:tc>
          <w:tcPr>
            <w:tcW w:w="3108" w:type="dxa"/>
            <w:tcBorders>
              <w:top w:val="single" w:color="auto" w:sz="4" w:space="0"/>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1000</w:t>
            </w:r>
          </w:p>
        </w:tc>
      </w:tr>
    </w:tbl>
    <w:p>
      <w:pPr>
        <w:pStyle w:val="4"/>
        <w:pageBreakBefore w:val="0"/>
        <w:kinsoku/>
        <w:wordWrap/>
        <w:overflowPunct/>
        <w:topLinePunct w:val="0"/>
        <w:autoSpaceDE/>
        <w:autoSpaceDN/>
        <w:bidi w:val="0"/>
        <w:adjustRightInd/>
        <w:spacing w:before="0" w:after="0" w:line="560" w:lineRule="exact"/>
        <w:ind w:firstLine="472" w:firstLineChars="147"/>
        <w:rPr>
          <w:rFonts w:hint="eastAsia" w:ascii="仿宋_GB2312" w:hAnsi="仿宋_GB2312" w:eastAsia="仿宋_GB2312" w:cs="仿宋_GB2312"/>
        </w:rPr>
      </w:pPr>
      <w:bookmarkStart w:id="0" w:name="_Toc30152831"/>
      <w:r>
        <w:rPr>
          <w:rFonts w:hint="eastAsia" w:ascii="仿宋_GB2312" w:hAnsi="仿宋_GB2312" w:eastAsia="仿宋_GB2312" w:cs="仿宋_GB2312"/>
        </w:rPr>
        <w:t>3</w:t>
      </w:r>
      <w:r>
        <w:rPr>
          <w:rFonts w:hint="eastAsia" w:ascii="仿宋_GB2312" w:hAnsi="仿宋_GB2312" w:eastAsia="仿宋_GB2312" w:cs="仿宋_GB2312"/>
          <w:lang w:eastAsia="zh-CN"/>
        </w:rPr>
        <w:t>.</w:t>
      </w:r>
      <w:r>
        <w:rPr>
          <w:rFonts w:hint="eastAsia" w:ascii="仿宋_GB2312" w:hAnsi="仿宋_GB2312" w:eastAsia="仿宋_GB2312" w:cs="仿宋_GB2312"/>
        </w:rPr>
        <w:t>资金投入及使用情况</w:t>
      </w:r>
      <w:bookmarkEnd w:id="0"/>
    </w:p>
    <w:p>
      <w:pPr>
        <w:pageBreakBefore w:val="0"/>
        <w:kinsoku/>
        <w:wordWrap/>
        <w:overflowPunct/>
        <w:topLinePunct w:val="0"/>
        <w:autoSpaceDE/>
        <w:autoSpaceDN/>
        <w:bidi w:val="0"/>
        <w:adjustRightInd/>
        <w:spacing w:line="560" w:lineRule="exact"/>
        <w:ind w:firstLine="480" w:firstLineChars="15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（1）资金安排</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该项目总投资1000万元，资金符合专项债券范围，做到了专款专用，在资金使用和拨付过程中，为确保项目资金的安全性，提高项目资金的使用效率，严格按照政府采购合同条款及施工进度已按时支付给乙方。</w:t>
      </w:r>
    </w:p>
    <w:p>
      <w:pPr>
        <w:pageBreakBefore w:val="0"/>
        <w:kinsoku/>
        <w:wordWrap/>
        <w:overflowPunct/>
        <w:topLinePunct w:val="0"/>
        <w:autoSpaceDE/>
        <w:autoSpaceDN/>
        <w:bidi w:val="0"/>
        <w:adjustRightInd/>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（2）预算资金来源及使用情况</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2020年塔城文化中心提升改造项目塔地财预（2020）46号资金全部为专项债券资金，资金到位1000万元，该项目实际支付资金1000万元，支付完成率100%。</w:t>
      </w:r>
    </w:p>
    <w:p>
      <w:pPr>
        <w:pageBreakBefore w:val="0"/>
        <w:kinsoku/>
        <w:wordWrap/>
        <w:overflowPunct/>
        <w:topLinePunct w:val="0"/>
        <w:autoSpaceDE/>
        <w:autoSpaceDN/>
        <w:bidi w:val="0"/>
        <w:adjustRightInd/>
        <w:spacing w:line="560" w:lineRule="exact"/>
        <w:ind w:firstLine="643" w:firstLineChars="200"/>
        <w:rPr>
          <w:rFonts w:hint="eastAsia" w:ascii="楷体_GB2312" w:hAnsi="楷体_GB2312" w:eastAsia="楷体_GB2312" w:cs="楷体_GB2312"/>
          <w:b/>
          <w:bCs w:val="0"/>
          <w:sz w:val="32"/>
          <w:szCs w:val="32"/>
        </w:rPr>
      </w:pPr>
      <w:r>
        <w:rPr>
          <w:rFonts w:hint="eastAsia" w:ascii="楷体_GB2312" w:hAnsi="楷体_GB2312" w:eastAsia="楷体_GB2312" w:cs="楷体_GB2312"/>
          <w:b/>
          <w:bCs w:val="0"/>
          <w:sz w:val="32"/>
          <w:szCs w:val="32"/>
        </w:rPr>
        <w:t>（二）</w:t>
      </w:r>
      <w:bookmarkStart w:id="7" w:name="_GoBack"/>
      <w:r>
        <w:rPr>
          <w:rFonts w:hint="eastAsia" w:ascii="楷体_GB2312" w:hAnsi="楷体_GB2312" w:eastAsia="楷体_GB2312" w:cs="楷体_GB2312"/>
          <w:b/>
          <w:bCs w:val="0"/>
          <w:sz w:val="32"/>
          <w:szCs w:val="32"/>
        </w:rPr>
        <w:t>2020年项目绩效</w:t>
      </w:r>
      <w:bookmarkEnd w:id="7"/>
      <w:r>
        <w:rPr>
          <w:rFonts w:hint="eastAsia" w:ascii="楷体_GB2312" w:hAnsi="楷体_GB2312" w:eastAsia="楷体_GB2312" w:cs="楷体_GB2312"/>
          <w:b/>
          <w:bCs w:val="0"/>
          <w:sz w:val="32"/>
          <w:szCs w:val="32"/>
        </w:rPr>
        <w:t>目标</w:t>
      </w:r>
    </w:p>
    <w:p>
      <w:pPr>
        <w:pageBreakBefore w:val="0"/>
        <w:kinsoku/>
        <w:wordWrap/>
        <w:overflowPunct/>
        <w:topLinePunct w:val="0"/>
        <w:autoSpaceDE/>
        <w:autoSpaceDN/>
        <w:bidi w:val="0"/>
        <w:adjustRightInd/>
        <w:spacing w:line="560" w:lineRule="exact"/>
        <w:ind w:firstLine="643" w:firstLineChars="200"/>
        <w:rPr>
          <w:rFonts w:ascii="仿宋_GB2312" w:hAnsi="仿宋" w:eastAsia="仿宋_GB2312" w:cs="仿宋"/>
          <w:b/>
          <w:bCs/>
          <w:sz w:val="32"/>
          <w:szCs w:val="32"/>
        </w:rPr>
      </w:pPr>
      <w:r>
        <w:rPr>
          <w:rFonts w:hint="eastAsia" w:ascii="仿宋_GB2312" w:hAnsi="仿宋" w:eastAsia="仿宋_GB2312" w:cs="仿宋"/>
          <w:b/>
          <w:bCs/>
          <w:sz w:val="32"/>
          <w:szCs w:val="32"/>
        </w:rPr>
        <w:t xml:space="preserve">1、总体目标 </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项目改造文化中心四个展厅 3456平方米，其中改造手风琴展厅 900 平方米，改造油画展厅 836 平方米，改造书画苑 900 平方米,改造民俗展厅 820 平方米及附属设施设备，推进文化中心文化娱乐旅游配套设施建设，能够为市民群众提供更加丰富、充实、安全、便利的生活，提高人民群众生活品质，推进文化娱乐设施建设，有效提升城市环境。</w:t>
      </w:r>
    </w:p>
    <w:p>
      <w:pPr>
        <w:pStyle w:val="2"/>
        <w:pageBreakBefore w:val="0"/>
        <w:kinsoku/>
        <w:wordWrap/>
        <w:overflowPunct/>
        <w:topLinePunct w:val="0"/>
        <w:autoSpaceDE/>
        <w:autoSpaceDN/>
        <w:bidi w:val="0"/>
        <w:adjustRightInd/>
        <w:spacing w:line="560" w:lineRule="exact"/>
        <w:ind w:firstLine="482" w:firstLineChars="150"/>
        <w:rPr>
          <w:rFonts w:ascii="仿宋_GB2312" w:hAnsi="仿宋" w:eastAsia="仿宋_GB2312" w:cs="仿宋"/>
          <w:b/>
          <w:bCs/>
          <w:sz w:val="32"/>
          <w:szCs w:val="32"/>
        </w:rPr>
      </w:pPr>
      <w:r>
        <w:rPr>
          <w:rFonts w:hint="eastAsia" w:ascii="仿宋_GB2312" w:hAnsi="仿宋" w:eastAsia="仿宋_GB2312" w:cs="仿宋"/>
          <w:b/>
          <w:bCs/>
          <w:sz w:val="32"/>
          <w:szCs w:val="32"/>
        </w:rPr>
        <w:t>2、阶段性目标</w:t>
      </w:r>
    </w:p>
    <w:p>
      <w:pPr>
        <w:pStyle w:val="2"/>
        <w:pageBreakBefore w:val="0"/>
        <w:kinsoku/>
        <w:wordWrap/>
        <w:overflowPunct/>
        <w:topLinePunct w:val="0"/>
        <w:autoSpaceDE/>
        <w:autoSpaceDN/>
        <w:bidi w:val="0"/>
        <w:adjustRightInd/>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通过公开招标和邀请招标方式最终由新疆庭安建设工程有限公司和新疆百成建设工程有限公司中标。依据合同及工程进度进行支付资金。</w:t>
      </w:r>
    </w:p>
    <w:p>
      <w:pPr>
        <w:pStyle w:val="2"/>
        <w:pageBreakBefore w:val="0"/>
        <w:kinsoku/>
        <w:wordWrap/>
        <w:overflowPunct/>
        <w:topLinePunct w:val="0"/>
        <w:autoSpaceDE/>
        <w:autoSpaceDN/>
        <w:bidi w:val="0"/>
        <w:adjustRightInd/>
        <w:spacing w:line="560" w:lineRule="exact"/>
        <w:ind w:firstLine="480" w:firstLineChars="150"/>
        <w:rPr>
          <w:rFonts w:ascii="黑体" w:hAnsi="黑体" w:eastAsia="黑体" w:cs="黑体"/>
          <w:sz w:val="32"/>
          <w:szCs w:val="32"/>
        </w:rPr>
      </w:pPr>
      <w:r>
        <w:rPr>
          <w:rFonts w:hint="eastAsia" w:ascii="黑体" w:hAnsi="黑体" w:eastAsia="黑体" w:cs="黑体"/>
          <w:sz w:val="32"/>
          <w:szCs w:val="32"/>
        </w:rPr>
        <w:t>二、绩效评价工作开展情况</w:t>
      </w:r>
    </w:p>
    <w:p>
      <w:pPr>
        <w:pStyle w:val="3"/>
        <w:keepNext w:val="0"/>
        <w:keepLines w:val="0"/>
        <w:pageBreakBefore w:val="0"/>
        <w:kinsoku/>
        <w:wordWrap/>
        <w:overflowPunct/>
        <w:topLinePunct w:val="0"/>
        <w:autoSpaceDE/>
        <w:autoSpaceDN/>
        <w:bidi w:val="0"/>
        <w:adjustRightInd/>
        <w:spacing w:before="0" w:after="0" w:line="560" w:lineRule="exact"/>
        <w:ind w:firstLine="643" w:firstLineChars="200"/>
        <w:rPr>
          <w:rFonts w:ascii="楷体" w:hAnsi="楷体" w:eastAsia="楷体" w:cs="楷体"/>
        </w:rPr>
      </w:pPr>
      <w:bookmarkStart w:id="1" w:name="_Toc30152839"/>
      <w:bookmarkStart w:id="2" w:name="_Toc9625"/>
      <w:r>
        <w:rPr>
          <w:rFonts w:hint="eastAsia" w:ascii="楷体" w:hAnsi="楷体" w:eastAsia="楷体" w:cs="楷体"/>
        </w:rPr>
        <w:t>（一）绩效评价目的</w:t>
      </w:r>
      <w:bookmarkEnd w:id="1"/>
      <w:bookmarkEnd w:id="2"/>
      <w:r>
        <w:rPr>
          <w:rFonts w:hint="eastAsia" w:ascii="楷体" w:hAnsi="楷体" w:eastAsia="楷体" w:cs="楷体"/>
        </w:rPr>
        <w:t>、对象和范围</w:t>
      </w:r>
    </w:p>
    <w:p>
      <w:pPr>
        <w:pStyle w:val="3"/>
        <w:keepNext w:val="0"/>
        <w:keepLines w:val="0"/>
        <w:pageBreakBefore w:val="0"/>
        <w:kinsoku/>
        <w:wordWrap/>
        <w:overflowPunct/>
        <w:topLinePunct w:val="0"/>
        <w:autoSpaceDE/>
        <w:autoSpaceDN/>
        <w:bidi w:val="0"/>
        <w:adjustRightInd/>
        <w:spacing w:before="0" w:after="0" w:line="560" w:lineRule="exact"/>
        <w:ind w:firstLine="643" w:firstLineChars="200"/>
        <w:rPr>
          <w:rFonts w:ascii="仿宋_GB2312" w:hAnsi="仿宋" w:eastAsia="仿宋_GB2312" w:cs="仿宋"/>
          <w:b/>
          <w:bCs/>
        </w:rPr>
      </w:pPr>
      <w:r>
        <w:rPr>
          <w:rFonts w:hint="eastAsia" w:ascii="仿宋_GB2312" w:hAnsi="仿宋" w:eastAsia="仿宋_GB2312" w:cs="仿宋"/>
          <w:b/>
          <w:bCs/>
        </w:rPr>
        <w:t>1、评价目的</w:t>
      </w:r>
    </w:p>
    <w:p>
      <w:pPr>
        <w:pStyle w:val="3"/>
        <w:keepNext w:val="0"/>
        <w:keepLines w:val="0"/>
        <w:pageBreakBefore w:val="0"/>
        <w:kinsoku/>
        <w:wordWrap/>
        <w:overflowPunct/>
        <w:topLinePunct w:val="0"/>
        <w:autoSpaceDE/>
        <w:autoSpaceDN/>
        <w:bidi w:val="0"/>
        <w:adjustRightInd/>
        <w:spacing w:before="0" w:after="0" w:line="560" w:lineRule="exact"/>
        <w:ind w:firstLine="640" w:firstLineChars="200"/>
        <w:rPr>
          <w:rFonts w:ascii="仿宋_GB2312" w:hAnsi="仿宋" w:eastAsia="仿宋_GB2312" w:cs="仿宋"/>
          <w:b w:val="0"/>
          <w:bCs w:val="0"/>
        </w:rPr>
      </w:pPr>
      <w:r>
        <w:rPr>
          <w:rFonts w:hint="eastAsia" w:ascii="仿宋_GB2312" w:hAnsi="仿宋" w:eastAsia="仿宋_GB2312" w:cs="仿宋"/>
          <w:b w:val="0"/>
          <w:bCs w:val="0"/>
        </w:rPr>
        <w:t xml:space="preserve">绩效评价旨在通过评价改善预算部门的财政支出管理，优化资源配置及提高公共服务水平。运用科学、规范的绩效评价方法，对《塔城文化中心提升改造》项目进行科学评价，评价项目预算编制合理性、资金使用合规性、项目管理的规范性、项目目标的实现情况、服务对象的满意度等，通过本次绩效评价来总结经验和教训，促进项目成果转化和应用，为今后类似项目的长效管理，提供可行性参考建议。从专项资金的角度提出有针对性的建议，提高对《塔城文化中心提升改造项目》的有效利用度，进一步加强塔城地区公共文化服务体系建设。 </w:t>
      </w:r>
    </w:p>
    <w:p>
      <w:pPr>
        <w:pageBreakBefore w:val="0"/>
        <w:kinsoku/>
        <w:wordWrap/>
        <w:overflowPunct/>
        <w:topLinePunct w:val="0"/>
        <w:autoSpaceDE/>
        <w:autoSpaceDN/>
        <w:bidi w:val="0"/>
        <w:adjustRightInd/>
        <w:spacing w:line="560" w:lineRule="exact"/>
        <w:ind w:firstLine="643" w:firstLineChars="200"/>
        <w:rPr>
          <w:rFonts w:ascii="仿宋_GB2312" w:hAnsi="仿宋" w:eastAsia="仿宋_GB2312" w:cs="仿宋"/>
          <w:b/>
          <w:bCs/>
          <w:sz w:val="32"/>
          <w:szCs w:val="32"/>
        </w:rPr>
      </w:pPr>
      <w:r>
        <w:rPr>
          <w:rFonts w:hint="eastAsia" w:ascii="仿宋_GB2312" w:hAnsi="仿宋" w:eastAsia="仿宋_GB2312" w:cs="仿宋"/>
          <w:b/>
          <w:bCs/>
          <w:sz w:val="32"/>
          <w:szCs w:val="32"/>
        </w:rPr>
        <w:t>2、评价对象</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评价对象为塔城文化中心提升改造项目，评价核心为专项资金的支出完成情况和效果。</w:t>
      </w:r>
    </w:p>
    <w:p>
      <w:pPr>
        <w:pStyle w:val="2"/>
        <w:pageBreakBefore w:val="0"/>
        <w:numPr>
          <w:ilvl w:val="0"/>
          <w:numId w:val="1"/>
        </w:numPr>
        <w:kinsoku/>
        <w:wordWrap/>
        <w:overflowPunct/>
        <w:topLinePunct w:val="0"/>
        <w:autoSpaceDE/>
        <w:autoSpaceDN/>
        <w:bidi w:val="0"/>
        <w:adjustRightInd/>
        <w:spacing w:line="560" w:lineRule="exact"/>
        <w:rPr>
          <w:rFonts w:ascii="仿宋_GB2312" w:hAnsi="仿宋" w:eastAsia="仿宋_GB2312" w:cs="仿宋"/>
          <w:b/>
          <w:bCs/>
          <w:sz w:val="32"/>
          <w:szCs w:val="32"/>
        </w:rPr>
      </w:pPr>
      <w:r>
        <w:rPr>
          <w:rFonts w:hint="eastAsia" w:ascii="仿宋_GB2312" w:hAnsi="仿宋" w:eastAsia="仿宋_GB2312" w:cs="仿宋"/>
          <w:b/>
          <w:bCs/>
          <w:sz w:val="32"/>
          <w:szCs w:val="32"/>
        </w:rPr>
        <w:t>评价范围</w:t>
      </w:r>
    </w:p>
    <w:p>
      <w:pPr>
        <w:pStyle w:val="2"/>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本次评价从项目决策（包括绩效目标、决策过程）、项目管理（包括项目资金、项目实施）、项目产出（包括项目产出数量、产出质量、产出时效和产出成本）项目效益四个维度进行评价。</w:t>
      </w:r>
    </w:p>
    <w:p>
      <w:pPr>
        <w:pStyle w:val="3"/>
        <w:keepNext w:val="0"/>
        <w:keepLines w:val="0"/>
        <w:pageBreakBefore w:val="0"/>
        <w:kinsoku/>
        <w:wordWrap/>
        <w:overflowPunct/>
        <w:topLinePunct w:val="0"/>
        <w:autoSpaceDE/>
        <w:autoSpaceDN/>
        <w:bidi w:val="0"/>
        <w:adjustRightInd/>
        <w:spacing w:before="0" w:after="0" w:line="560" w:lineRule="exact"/>
        <w:ind w:firstLine="643" w:firstLineChars="200"/>
        <w:rPr>
          <w:rFonts w:ascii="楷体" w:hAnsi="楷体" w:eastAsia="楷体" w:cs="楷体"/>
        </w:rPr>
      </w:pPr>
      <w:r>
        <w:rPr>
          <w:rFonts w:hint="eastAsia" w:ascii="楷体" w:hAnsi="楷体" w:eastAsia="楷体" w:cs="楷体"/>
        </w:rPr>
        <w:t>（二）绩效评价原则、评价指标体系、评价方法、评价标准等</w:t>
      </w:r>
    </w:p>
    <w:p>
      <w:pPr>
        <w:pStyle w:val="4"/>
        <w:pageBreakBefore w:val="0"/>
        <w:kinsoku/>
        <w:wordWrap/>
        <w:overflowPunct/>
        <w:topLinePunct w:val="0"/>
        <w:autoSpaceDE/>
        <w:autoSpaceDN/>
        <w:bidi w:val="0"/>
        <w:adjustRightInd/>
        <w:spacing w:before="0" w:after="0" w:line="560" w:lineRule="exact"/>
        <w:ind w:firstLine="482" w:firstLineChars="150"/>
        <w:rPr>
          <w:rFonts w:ascii="仿宋_GB2312" w:hAnsi="仿宋" w:eastAsia="仿宋_GB2312" w:cs="仿宋"/>
          <w:b/>
          <w:bCs/>
        </w:rPr>
      </w:pPr>
      <w:bookmarkStart w:id="3" w:name="_Toc402181873"/>
      <w:bookmarkStart w:id="4" w:name="_Toc407184396"/>
      <w:bookmarkStart w:id="5" w:name="_Toc30152846"/>
      <w:r>
        <w:rPr>
          <w:rFonts w:hint="eastAsia" w:ascii="仿宋_GB2312" w:hAnsi="仿宋" w:eastAsia="仿宋_GB2312" w:cs="仿宋"/>
          <w:b/>
          <w:bCs/>
          <w:lang w:val="en-US" w:eastAsia="zh-CN"/>
        </w:rPr>
        <w:t>1.</w:t>
      </w:r>
      <w:r>
        <w:rPr>
          <w:rFonts w:hint="eastAsia" w:ascii="仿宋_GB2312" w:hAnsi="仿宋" w:eastAsia="仿宋_GB2312" w:cs="仿宋"/>
          <w:b/>
          <w:bCs/>
        </w:rPr>
        <w:t>绩效评价原则：</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（1）科学公正。绩效评价应当运用科学合理的方法，按照规范的程序，对项目绩效进行客观、公正的反映。</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（2）统筹兼顾。单位自评、部门评价和财政评价应职责明确，各有侧重，相互衔接。</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（4）公开透明。绩效评价结果应依法依规公开，并自觉接受社会监督。</w:t>
      </w:r>
    </w:p>
    <w:bookmarkEnd w:id="3"/>
    <w:bookmarkEnd w:id="4"/>
    <w:bookmarkEnd w:id="5"/>
    <w:p>
      <w:pPr>
        <w:pStyle w:val="10"/>
        <w:pageBreakBefore w:val="0"/>
        <w:widowControl/>
        <w:shd w:val="clear" w:color="auto" w:fill="FFFFFF"/>
        <w:kinsoku/>
        <w:wordWrap/>
        <w:overflowPunct/>
        <w:topLinePunct w:val="0"/>
        <w:autoSpaceDE/>
        <w:autoSpaceDN/>
        <w:bidi w:val="0"/>
        <w:adjustRightInd/>
        <w:spacing w:line="560" w:lineRule="exact"/>
        <w:ind w:firstLine="482" w:firstLineChars="150"/>
        <w:rPr>
          <w:rFonts w:hint="eastAsia" w:ascii="仿宋_GB2312" w:hAnsi="仿宋_GB2312" w:eastAsia="仿宋_GB2312" w:cs="仿宋_GB2312"/>
          <w:b/>
          <w:sz w:val="32"/>
          <w:szCs w:val="32"/>
        </w:rPr>
      </w:pPr>
      <w:bookmarkStart w:id="6" w:name="OLE_LINK1"/>
      <w:r>
        <w:rPr>
          <w:rFonts w:hint="eastAsia" w:ascii="仿宋_GB2312" w:hAnsi="仿宋_GB2312" w:eastAsia="仿宋_GB2312" w:cs="仿宋_GB2312"/>
          <w:b/>
          <w:sz w:val="32"/>
          <w:szCs w:val="32"/>
          <w:lang w:val="en-US" w:eastAsia="zh-CN"/>
        </w:rPr>
        <w:t>2.</w:t>
      </w:r>
      <w:r>
        <w:rPr>
          <w:rFonts w:hint="eastAsia" w:ascii="仿宋_GB2312" w:hAnsi="仿宋_GB2312" w:eastAsia="仿宋_GB2312" w:cs="仿宋_GB2312"/>
          <w:b/>
          <w:sz w:val="32"/>
          <w:szCs w:val="32"/>
        </w:rPr>
        <w:t>评价指标体系</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指标体系详见下表：</w:t>
      </w:r>
    </w:p>
    <w:tbl>
      <w:tblPr>
        <w:tblStyle w:val="12"/>
        <w:tblW w:w="9318" w:type="dxa"/>
        <w:tblInd w:w="93" w:type="dxa"/>
        <w:tblLayout w:type="fixed"/>
        <w:tblCellMar>
          <w:top w:w="0" w:type="dxa"/>
          <w:left w:w="108" w:type="dxa"/>
          <w:bottom w:w="0" w:type="dxa"/>
          <w:right w:w="108" w:type="dxa"/>
        </w:tblCellMar>
      </w:tblPr>
      <w:tblGrid>
        <w:gridCol w:w="776"/>
        <w:gridCol w:w="760"/>
        <w:gridCol w:w="1589"/>
        <w:gridCol w:w="660"/>
        <w:gridCol w:w="1484"/>
        <w:gridCol w:w="2656"/>
        <w:gridCol w:w="1393"/>
      </w:tblGrid>
      <w:tr>
        <w:tblPrEx>
          <w:tblCellMar>
            <w:top w:w="0" w:type="dxa"/>
            <w:left w:w="108" w:type="dxa"/>
            <w:bottom w:w="0" w:type="dxa"/>
            <w:right w:w="108" w:type="dxa"/>
          </w:tblCellMar>
        </w:tblPrEx>
        <w:trPr>
          <w:trHeight w:val="455" w:hRule="atLeast"/>
          <w:tblHeader/>
        </w:trPr>
        <w:tc>
          <w:tcPr>
            <w:tcW w:w="9318" w:type="dxa"/>
            <w:gridSpan w:val="7"/>
            <w:tcBorders>
              <w:top w:val="nil"/>
              <w:left w:val="nil"/>
              <w:bottom w:val="single" w:color="auto" w:sz="4" w:space="0"/>
              <w:right w:val="nil"/>
            </w:tcBorders>
            <w:shd w:val="clear" w:color="auto" w:fill="auto"/>
            <w:vAlign w:val="center"/>
          </w:tcPr>
          <w:p>
            <w:pPr>
              <w:pageBreakBefore w:val="0"/>
              <w:widowControl/>
              <w:kinsoku/>
              <w:wordWrap/>
              <w:overflowPunct/>
              <w:topLinePunct w:val="0"/>
              <w:autoSpaceDE/>
              <w:autoSpaceDN/>
              <w:bidi w:val="0"/>
              <w:adjustRightInd/>
              <w:spacing w:line="560" w:lineRule="exact"/>
              <w:rPr>
                <w:rFonts w:ascii="仿宋_GB2312" w:hAnsi="仿宋_GB2312" w:eastAsia="仿宋_GB2312" w:cs="仿宋_GB2312"/>
                <w:sz w:val="32"/>
                <w:szCs w:val="32"/>
              </w:rPr>
            </w:pPr>
          </w:p>
        </w:tc>
      </w:tr>
      <w:tr>
        <w:tblPrEx>
          <w:tblCellMar>
            <w:top w:w="0" w:type="dxa"/>
            <w:left w:w="108" w:type="dxa"/>
            <w:bottom w:w="0" w:type="dxa"/>
            <w:right w:w="108" w:type="dxa"/>
          </w:tblCellMar>
        </w:tblPrEx>
        <w:trPr>
          <w:trHeight w:val="597" w:hRule="atLeast"/>
          <w:tblHeader/>
        </w:trPr>
        <w:tc>
          <w:tcPr>
            <w:tcW w:w="776"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一级指标</w:t>
            </w:r>
          </w:p>
        </w:tc>
        <w:tc>
          <w:tcPr>
            <w:tcW w:w="760"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分值</w:t>
            </w:r>
          </w:p>
        </w:tc>
        <w:tc>
          <w:tcPr>
            <w:tcW w:w="1589"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二级指标</w:t>
            </w:r>
          </w:p>
        </w:tc>
        <w:tc>
          <w:tcPr>
            <w:tcW w:w="660"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分值</w:t>
            </w:r>
          </w:p>
        </w:tc>
        <w:tc>
          <w:tcPr>
            <w:tcW w:w="4140" w:type="dxa"/>
            <w:gridSpan w:val="2"/>
            <w:tcBorders>
              <w:top w:val="single" w:color="auto" w:sz="4" w:space="0"/>
              <w:left w:val="nil"/>
              <w:bottom w:val="single" w:color="auto"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三级指标</w:t>
            </w:r>
          </w:p>
        </w:tc>
        <w:tc>
          <w:tcPr>
            <w:tcW w:w="1393"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分值</w:t>
            </w:r>
          </w:p>
        </w:tc>
      </w:tr>
      <w:tr>
        <w:tblPrEx>
          <w:tblCellMar>
            <w:top w:w="0" w:type="dxa"/>
            <w:left w:w="108" w:type="dxa"/>
            <w:bottom w:w="0" w:type="dxa"/>
            <w:right w:w="108" w:type="dxa"/>
          </w:tblCellMar>
        </w:tblPrEx>
        <w:trPr>
          <w:trHeight w:val="597" w:hRule="atLeast"/>
        </w:trPr>
        <w:tc>
          <w:tcPr>
            <w:tcW w:w="776" w:type="dxa"/>
            <w:vMerge w:val="restart"/>
            <w:tcBorders>
              <w:top w:val="nil"/>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 w:hAnsi="仿宋" w:eastAsia="仿宋" w:cs="仿宋"/>
                <w:color w:val="000000"/>
                <w:kern w:val="0"/>
                <w:sz w:val="28"/>
                <w:szCs w:val="28"/>
              </w:rPr>
              <w:t>决策</w:t>
            </w:r>
          </w:p>
        </w:tc>
        <w:tc>
          <w:tcPr>
            <w:tcW w:w="760" w:type="dxa"/>
            <w:vMerge w:val="restart"/>
            <w:tcBorders>
              <w:top w:val="nil"/>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20</w:t>
            </w:r>
          </w:p>
        </w:tc>
        <w:tc>
          <w:tcPr>
            <w:tcW w:w="1589"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绩效目标</w:t>
            </w:r>
          </w:p>
        </w:tc>
        <w:tc>
          <w:tcPr>
            <w:tcW w:w="660" w:type="dxa"/>
            <w:tcBorders>
              <w:top w:val="single" w:color="auto" w:sz="4" w:space="0"/>
              <w:left w:val="nil"/>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5</w:t>
            </w:r>
          </w:p>
        </w:tc>
        <w:tc>
          <w:tcPr>
            <w:tcW w:w="4140" w:type="dxa"/>
            <w:gridSpan w:val="2"/>
            <w:tcBorders>
              <w:top w:val="single" w:color="auto" w:sz="4" w:space="0"/>
              <w:left w:val="nil"/>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绩效目标合理性</w:t>
            </w:r>
          </w:p>
        </w:tc>
        <w:tc>
          <w:tcPr>
            <w:tcW w:w="1393"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5</w:t>
            </w:r>
          </w:p>
        </w:tc>
      </w:tr>
      <w:tr>
        <w:tblPrEx>
          <w:tblCellMar>
            <w:top w:w="0" w:type="dxa"/>
            <w:left w:w="108" w:type="dxa"/>
            <w:bottom w:w="0" w:type="dxa"/>
            <w:right w:w="108" w:type="dxa"/>
          </w:tblCellMar>
        </w:tblPrEx>
        <w:trPr>
          <w:trHeight w:val="597" w:hRule="atLeast"/>
        </w:trPr>
        <w:tc>
          <w:tcPr>
            <w:tcW w:w="776" w:type="dxa"/>
            <w:vMerge w:val="continue"/>
            <w:tcBorders>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 w:hAnsi="仿宋" w:eastAsia="仿宋" w:cs="仿宋"/>
                <w:color w:val="000000"/>
                <w:kern w:val="0"/>
                <w:sz w:val="28"/>
                <w:szCs w:val="28"/>
              </w:rPr>
            </w:pPr>
          </w:p>
        </w:tc>
        <w:tc>
          <w:tcPr>
            <w:tcW w:w="760" w:type="dxa"/>
            <w:vMerge w:val="continue"/>
            <w:tcBorders>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p>
        </w:tc>
        <w:tc>
          <w:tcPr>
            <w:tcW w:w="1589" w:type="dxa"/>
            <w:vMerge w:val="restart"/>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r>
              <w:rPr>
                <w:rFonts w:hint="eastAsia" w:ascii="仿宋" w:hAnsi="仿宋" w:eastAsia="仿宋" w:cs="仿宋"/>
                <w:color w:val="000000"/>
                <w:kern w:val="0"/>
                <w:sz w:val="28"/>
                <w:szCs w:val="28"/>
              </w:rPr>
              <w:t>项目决策</w:t>
            </w:r>
          </w:p>
        </w:tc>
        <w:tc>
          <w:tcPr>
            <w:tcW w:w="660" w:type="dxa"/>
            <w:vMerge w:val="restart"/>
            <w:tcBorders>
              <w:top w:val="single" w:color="auto" w:sz="4" w:space="0"/>
              <w:left w:val="nil"/>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决策依据充分性</w:t>
            </w:r>
          </w:p>
        </w:tc>
        <w:tc>
          <w:tcPr>
            <w:tcW w:w="1393"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5</w:t>
            </w:r>
          </w:p>
        </w:tc>
      </w:tr>
      <w:tr>
        <w:tblPrEx>
          <w:tblCellMar>
            <w:top w:w="0" w:type="dxa"/>
            <w:left w:w="108" w:type="dxa"/>
            <w:bottom w:w="0" w:type="dxa"/>
            <w:right w:w="108" w:type="dxa"/>
          </w:tblCellMar>
        </w:tblPrEx>
        <w:trPr>
          <w:trHeight w:val="597" w:hRule="atLeast"/>
        </w:trPr>
        <w:tc>
          <w:tcPr>
            <w:tcW w:w="776" w:type="dxa"/>
            <w:vMerge w:val="continue"/>
            <w:tcBorders>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 w:hAnsi="仿宋" w:eastAsia="仿宋" w:cs="仿宋"/>
                <w:color w:val="000000"/>
                <w:kern w:val="0"/>
                <w:sz w:val="28"/>
                <w:szCs w:val="28"/>
              </w:rPr>
            </w:pPr>
          </w:p>
        </w:tc>
        <w:tc>
          <w:tcPr>
            <w:tcW w:w="760" w:type="dxa"/>
            <w:vMerge w:val="continue"/>
            <w:tcBorders>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p>
        </w:tc>
        <w:tc>
          <w:tcPr>
            <w:tcW w:w="1589" w:type="dxa"/>
            <w:vMerge w:val="continue"/>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left"/>
              <w:rPr>
                <w:rFonts w:ascii="仿宋" w:hAnsi="仿宋" w:eastAsia="仿宋" w:cs="仿宋"/>
                <w:color w:val="000000"/>
                <w:kern w:val="0"/>
                <w:sz w:val="28"/>
                <w:szCs w:val="28"/>
              </w:rPr>
            </w:pPr>
          </w:p>
        </w:tc>
        <w:tc>
          <w:tcPr>
            <w:tcW w:w="660" w:type="dxa"/>
            <w:vMerge w:val="continue"/>
            <w:tcBorders>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决策程序规范性</w:t>
            </w:r>
          </w:p>
        </w:tc>
        <w:tc>
          <w:tcPr>
            <w:tcW w:w="1393"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5</w:t>
            </w:r>
          </w:p>
        </w:tc>
      </w:tr>
      <w:tr>
        <w:tblPrEx>
          <w:tblCellMar>
            <w:top w:w="0" w:type="dxa"/>
            <w:left w:w="108" w:type="dxa"/>
            <w:bottom w:w="0" w:type="dxa"/>
            <w:right w:w="108" w:type="dxa"/>
          </w:tblCellMar>
        </w:tblPrEx>
        <w:trPr>
          <w:trHeight w:val="597" w:hRule="atLeast"/>
        </w:trPr>
        <w:tc>
          <w:tcPr>
            <w:tcW w:w="776" w:type="dxa"/>
            <w:vMerge w:val="continue"/>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p>
        </w:tc>
        <w:tc>
          <w:tcPr>
            <w:tcW w:w="760" w:type="dxa"/>
            <w:vMerge w:val="continue"/>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p>
        </w:tc>
        <w:tc>
          <w:tcPr>
            <w:tcW w:w="1589"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r>
              <w:rPr>
                <w:rFonts w:hint="eastAsia" w:ascii="仿宋" w:hAnsi="仿宋" w:eastAsia="仿宋" w:cs="仿宋"/>
                <w:color w:val="000000"/>
                <w:kern w:val="0"/>
                <w:sz w:val="28"/>
                <w:szCs w:val="28"/>
              </w:rPr>
              <w:t>资金投入</w:t>
            </w:r>
          </w:p>
        </w:tc>
        <w:tc>
          <w:tcPr>
            <w:tcW w:w="66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5</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预算编制科学性</w:t>
            </w:r>
          </w:p>
        </w:tc>
        <w:tc>
          <w:tcPr>
            <w:tcW w:w="1393"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5</w:t>
            </w:r>
          </w:p>
        </w:tc>
      </w:tr>
      <w:tr>
        <w:tblPrEx>
          <w:tblCellMar>
            <w:top w:w="0" w:type="dxa"/>
            <w:left w:w="108" w:type="dxa"/>
            <w:bottom w:w="0" w:type="dxa"/>
            <w:right w:w="108" w:type="dxa"/>
          </w:tblCellMar>
        </w:tblPrEx>
        <w:trPr>
          <w:trHeight w:val="597" w:hRule="atLeast"/>
        </w:trPr>
        <w:tc>
          <w:tcPr>
            <w:tcW w:w="776" w:type="dxa"/>
            <w:vMerge w:val="restart"/>
            <w:tcBorders>
              <w:top w:val="nil"/>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 w:hAnsi="仿宋" w:eastAsia="仿宋" w:cs="仿宋"/>
                <w:color w:val="000000"/>
                <w:kern w:val="0"/>
                <w:sz w:val="28"/>
                <w:szCs w:val="28"/>
              </w:rPr>
              <w:t>过程</w:t>
            </w:r>
          </w:p>
        </w:tc>
        <w:tc>
          <w:tcPr>
            <w:tcW w:w="760" w:type="dxa"/>
            <w:vMerge w:val="restart"/>
            <w:tcBorders>
              <w:top w:val="nil"/>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20</w:t>
            </w:r>
          </w:p>
        </w:tc>
        <w:tc>
          <w:tcPr>
            <w:tcW w:w="1589" w:type="dxa"/>
            <w:vMerge w:val="restart"/>
            <w:tcBorders>
              <w:top w:val="nil"/>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r>
              <w:rPr>
                <w:rFonts w:hint="eastAsia" w:ascii="仿宋" w:hAnsi="仿宋" w:eastAsia="仿宋" w:cs="仿宋"/>
                <w:color w:val="000000"/>
                <w:kern w:val="0"/>
                <w:sz w:val="28"/>
                <w:szCs w:val="28"/>
              </w:rPr>
              <w:t>资金管理</w:t>
            </w:r>
          </w:p>
        </w:tc>
        <w:tc>
          <w:tcPr>
            <w:tcW w:w="660" w:type="dxa"/>
            <w:vMerge w:val="restart"/>
            <w:tcBorders>
              <w:top w:val="nil"/>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资金到位率</w:t>
            </w:r>
          </w:p>
        </w:tc>
        <w:tc>
          <w:tcPr>
            <w:tcW w:w="1393"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5</w:t>
            </w:r>
          </w:p>
        </w:tc>
      </w:tr>
      <w:tr>
        <w:tblPrEx>
          <w:tblCellMar>
            <w:top w:w="0" w:type="dxa"/>
            <w:left w:w="108" w:type="dxa"/>
            <w:bottom w:w="0" w:type="dxa"/>
            <w:right w:w="108" w:type="dxa"/>
          </w:tblCellMar>
        </w:tblPrEx>
        <w:trPr>
          <w:trHeight w:val="597" w:hRule="atLeast"/>
        </w:trPr>
        <w:tc>
          <w:tcPr>
            <w:tcW w:w="776" w:type="dxa"/>
            <w:vMerge w:val="continue"/>
            <w:tcBorders>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 w:hAnsi="仿宋" w:eastAsia="仿宋" w:cs="仿宋"/>
                <w:color w:val="000000"/>
                <w:kern w:val="0"/>
                <w:sz w:val="28"/>
                <w:szCs w:val="28"/>
              </w:rPr>
            </w:pPr>
          </w:p>
        </w:tc>
        <w:tc>
          <w:tcPr>
            <w:tcW w:w="760" w:type="dxa"/>
            <w:vMerge w:val="continue"/>
            <w:tcBorders>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p>
        </w:tc>
        <w:tc>
          <w:tcPr>
            <w:tcW w:w="1589" w:type="dxa"/>
            <w:vMerge w:val="continue"/>
            <w:tcBorders>
              <w:left w:val="single" w:color="auto" w:sz="4" w:space="0"/>
              <w:bottom w:val="single" w:color="000000"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left"/>
              <w:rPr>
                <w:rFonts w:ascii="仿宋" w:hAnsi="仿宋" w:eastAsia="仿宋" w:cs="仿宋"/>
                <w:color w:val="000000"/>
                <w:kern w:val="0"/>
                <w:sz w:val="28"/>
                <w:szCs w:val="28"/>
              </w:rPr>
            </w:pPr>
          </w:p>
        </w:tc>
        <w:tc>
          <w:tcPr>
            <w:tcW w:w="660" w:type="dxa"/>
            <w:vMerge w:val="continue"/>
            <w:tcBorders>
              <w:left w:val="single" w:color="auto" w:sz="4" w:space="0"/>
              <w:bottom w:val="single" w:color="000000"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资金使用合规性</w:t>
            </w:r>
          </w:p>
        </w:tc>
        <w:tc>
          <w:tcPr>
            <w:tcW w:w="1393"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5</w:t>
            </w:r>
          </w:p>
        </w:tc>
      </w:tr>
      <w:tr>
        <w:tblPrEx>
          <w:tblCellMar>
            <w:top w:w="0" w:type="dxa"/>
            <w:left w:w="108" w:type="dxa"/>
            <w:bottom w:w="0" w:type="dxa"/>
            <w:right w:w="108" w:type="dxa"/>
          </w:tblCellMar>
        </w:tblPrEx>
        <w:trPr>
          <w:trHeight w:val="597" w:hRule="atLeast"/>
        </w:trPr>
        <w:tc>
          <w:tcPr>
            <w:tcW w:w="776" w:type="dxa"/>
            <w:vMerge w:val="continue"/>
            <w:tcBorders>
              <w:left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p>
        </w:tc>
        <w:tc>
          <w:tcPr>
            <w:tcW w:w="760" w:type="dxa"/>
            <w:vMerge w:val="continue"/>
            <w:tcBorders>
              <w:left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p>
        </w:tc>
        <w:tc>
          <w:tcPr>
            <w:tcW w:w="1589" w:type="dxa"/>
            <w:vMerge w:val="restart"/>
            <w:tcBorders>
              <w:top w:val="nil"/>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r>
              <w:rPr>
                <w:rFonts w:hint="eastAsia" w:ascii="仿宋" w:hAnsi="仿宋" w:eastAsia="仿宋" w:cs="仿宋"/>
                <w:color w:val="000000"/>
                <w:kern w:val="0"/>
                <w:sz w:val="28"/>
                <w:szCs w:val="28"/>
              </w:rPr>
              <w:t>组织实施</w:t>
            </w:r>
          </w:p>
        </w:tc>
        <w:tc>
          <w:tcPr>
            <w:tcW w:w="660" w:type="dxa"/>
            <w:vMerge w:val="restart"/>
            <w:tcBorders>
              <w:top w:val="nil"/>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w:t>
            </w:r>
          </w:p>
        </w:tc>
        <w:tc>
          <w:tcPr>
            <w:tcW w:w="41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管理制度健全性</w:t>
            </w:r>
          </w:p>
        </w:tc>
        <w:tc>
          <w:tcPr>
            <w:tcW w:w="1393"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5</w:t>
            </w:r>
          </w:p>
        </w:tc>
      </w:tr>
      <w:tr>
        <w:tblPrEx>
          <w:tblCellMar>
            <w:top w:w="0" w:type="dxa"/>
            <w:left w:w="108" w:type="dxa"/>
            <w:bottom w:w="0" w:type="dxa"/>
            <w:right w:w="108" w:type="dxa"/>
          </w:tblCellMar>
        </w:tblPrEx>
        <w:trPr>
          <w:trHeight w:val="597" w:hRule="atLeast"/>
        </w:trPr>
        <w:tc>
          <w:tcPr>
            <w:tcW w:w="776" w:type="dxa"/>
            <w:vMerge w:val="continue"/>
            <w:tcBorders>
              <w:left w:val="single" w:color="auto" w:sz="4" w:space="0"/>
              <w:bottom w:val="single" w:color="000000"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p>
        </w:tc>
        <w:tc>
          <w:tcPr>
            <w:tcW w:w="760" w:type="dxa"/>
            <w:vMerge w:val="continue"/>
            <w:tcBorders>
              <w:left w:val="single" w:color="auto" w:sz="4" w:space="0"/>
              <w:bottom w:val="single" w:color="000000"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p>
        </w:tc>
        <w:tc>
          <w:tcPr>
            <w:tcW w:w="1589" w:type="dxa"/>
            <w:vMerge w:val="continue"/>
            <w:tcBorders>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left"/>
              <w:rPr>
                <w:rFonts w:ascii="仿宋" w:hAnsi="仿宋" w:eastAsia="仿宋" w:cs="仿宋"/>
                <w:color w:val="000000"/>
                <w:kern w:val="0"/>
                <w:sz w:val="28"/>
                <w:szCs w:val="28"/>
              </w:rPr>
            </w:pPr>
          </w:p>
        </w:tc>
        <w:tc>
          <w:tcPr>
            <w:tcW w:w="660" w:type="dxa"/>
            <w:vMerge w:val="continue"/>
            <w:tcBorders>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p>
        </w:tc>
        <w:tc>
          <w:tcPr>
            <w:tcW w:w="41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制度建设有效性</w:t>
            </w:r>
          </w:p>
        </w:tc>
        <w:tc>
          <w:tcPr>
            <w:tcW w:w="1393"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5</w:t>
            </w:r>
          </w:p>
        </w:tc>
      </w:tr>
      <w:tr>
        <w:tblPrEx>
          <w:tblCellMar>
            <w:top w:w="0" w:type="dxa"/>
            <w:left w:w="108" w:type="dxa"/>
            <w:bottom w:w="0" w:type="dxa"/>
            <w:right w:w="108" w:type="dxa"/>
          </w:tblCellMar>
        </w:tblPrEx>
        <w:trPr>
          <w:trHeight w:val="597" w:hRule="atLeast"/>
        </w:trPr>
        <w:tc>
          <w:tcPr>
            <w:tcW w:w="776" w:type="dxa"/>
            <w:vMerge w:val="restart"/>
            <w:tcBorders>
              <w:top w:val="nil"/>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 w:hAnsi="仿宋" w:eastAsia="仿宋" w:cs="仿宋"/>
                <w:color w:val="000000"/>
                <w:kern w:val="0"/>
                <w:sz w:val="28"/>
                <w:szCs w:val="28"/>
              </w:rPr>
              <w:t>产出</w:t>
            </w:r>
          </w:p>
        </w:tc>
        <w:tc>
          <w:tcPr>
            <w:tcW w:w="760" w:type="dxa"/>
            <w:vMerge w:val="restart"/>
            <w:tcBorders>
              <w:top w:val="nil"/>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40</w:t>
            </w:r>
          </w:p>
        </w:tc>
        <w:tc>
          <w:tcPr>
            <w:tcW w:w="1589" w:type="dxa"/>
            <w:vMerge w:val="restart"/>
            <w:tcBorders>
              <w:top w:val="nil"/>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项目产出</w:t>
            </w:r>
          </w:p>
        </w:tc>
        <w:tc>
          <w:tcPr>
            <w:tcW w:w="660" w:type="dxa"/>
            <w:vMerge w:val="restart"/>
            <w:tcBorders>
              <w:top w:val="nil"/>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40</w:t>
            </w:r>
          </w:p>
        </w:tc>
        <w:tc>
          <w:tcPr>
            <w:tcW w:w="1484"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产出数量</w:t>
            </w:r>
          </w:p>
        </w:tc>
        <w:tc>
          <w:tcPr>
            <w:tcW w:w="2656"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塔城地区文化中心提升改造展厅</w:t>
            </w:r>
          </w:p>
        </w:tc>
        <w:tc>
          <w:tcPr>
            <w:tcW w:w="1393"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w:t>
            </w:r>
          </w:p>
        </w:tc>
      </w:tr>
      <w:tr>
        <w:tblPrEx>
          <w:tblCellMar>
            <w:top w:w="0" w:type="dxa"/>
            <w:left w:w="108" w:type="dxa"/>
            <w:bottom w:w="0" w:type="dxa"/>
            <w:right w:w="108" w:type="dxa"/>
          </w:tblCellMar>
        </w:tblPrEx>
        <w:trPr>
          <w:trHeight w:val="597" w:hRule="atLeast"/>
        </w:trPr>
        <w:tc>
          <w:tcPr>
            <w:tcW w:w="776" w:type="dxa"/>
            <w:vMerge w:val="continue"/>
            <w:tcBorders>
              <w:left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p>
        </w:tc>
        <w:tc>
          <w:tcPr>
            <w:tcW w:w="760" w:type="dxa"/>
            <w:vMerge w:val="continue"/>
            <w:tcBorders>
              <w:left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p>
        </w:tc>
        <w:tc>
          <w:tcPr>
            <w:tcW w:w="1589" w:type="dxa"/>
            <w:vMerge w:val="continue"/>
            <w:tcBorders>
              <w:top w:val="nil"/>
              <w:left w:val="single" w:color="auto" w:sz="4" w:space="0"/>
              <w:bottom w:val="single" w:color="000000"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p>
        </w:tc>
        <w:tc>
          <w:tcPr>
            <w:tcW w:w="660" w:type="dxa"/>
            <w:vMerge w:val="continue"/>
            <w:tcBorders>
              <w:top w:val="nil"/>
              <w:left w:val="single" w:color="auto" w:sz="4" w:space="0"/>
              <w:bottom w:val="single" w:color="000000"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p>
        </w:tc>
        <w:tc>
          <w:tcPr>
            <w:tcW w:w="1484"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产出质量</w:t>
            </w:r>
          </w:p>
        </w:tc>
        <w:tc>
          <w:tcPr>
            <w:tcW w:w="2656"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工程完工率</w:t>
            </w:r>
          </w:p>
        </w:tc>
        <w:tc>
          <w:tcPr>
            <w:tcW w:w="1393"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w:t>
            </w:r>
          </w:p>
        </w:tc>
      </w:tr>
      <w:tr>
        <w:tblPrEx>
          <w:tblCellMar>
            <w:top w:w="0" w:type="dxa"/>
            <w:left w:w="108" w:type="dxa"/>
            <w:bottom w:w="0" w:type="dxa"/>
            <w:right w:w="108" w:type="dxa"/>
          </w:tblCellMar>
        </w:tblPrEx>
        <w:trPr>
          <w:trHeight w:val="597" w:hRule="atLeast"/>
        </w:trPr>
        <w:tc>
          <w:tcPr>
            <w:tcW w:w="776" w:type="dxa"/>
            <w:vMerge w:val="continue"/>
            <w:tcBorders>
              <w:left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p>
        </w:tc>
        <w:tc>
          <w:tcPr>
            <w:tcW w:w="760" w:type="dxa"/>
            <w:vMerge w:val="continue"/>
            <w:tcBorders>
              <w:left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p>
        </w:tc>
        <w:tc>
          <w:tcPr>
            <w:tcW w:w="1589" w:type="dxa"/>
            <w:vMerge w:val="continue"/>
            <w:tcBorders>
              <w:top w:val="nil"/>
              <w:left w:val="single" w:color="auto" w:sz="4" w:space="0"/>
              <w:bottom w:val="single" w:color="000000"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p>
        </w:tc>
        <w:tc>
          <w:tcPr>
            <w:tcW w:w="660" w:type="dxa"/>
            <w:vMerge w:val="continue"/>
            <w:tcBorders>
              <w:top w:val="nil"/>
              <w:left w:val="single" w:color="auto" w:sz="4" w:space="0"/>
              <w:bottom w:val="single" w:color="000000"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p>
        </w:tc>
        <w:tc>
          <w:tcPr>
            <w:tcW w:w="1484"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产出时效</w:t>
            </w:r>
          </w:p>
        </w:tc>
        <w:tc>
          <w:tcPr>
            <w:tcW w:w="2656"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资金拨付及时率</w:t>
            </w:r>
          </w:p>
        </w:tc>
        <w:tc>
          <w:tcPr>
            <w:tcW w:w="1393"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w:t>
            </w:r>
          </w:p>
        </w:tc>
      </w:tr>
      <w:tr>
        <w:tblPrEx>
          <w:tblCellMar>
            <w:top w:w="0" w:type="dxa"/>
            <w:left w:w="108" w:type="dxa"/>
            <w:bottom w:w="0" w:type="dxa"/>
            <w:right w:w="108" w:type="dxa"/>
          </w:tblCellMar>
        </w:tblPrEx>
        <w:trPr>
          <w:trHeight w:val="597" w:hRule="atLeast"/>
        </w:trPr>
        <w:tc>
          <w:tcPr>
            <w:tcW w:w="776" w:type="dxa"/>
            <w:vMerge w:val="continue"/>
            <w:tcBorders>
              <w:left w:val="single" w:color="auto" w:sz="4" w:space="0"/>
              <w:bottom w:val="single" w:color="000000"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p>
        </w:tc>
        <w:tc>
          <w:tcPr>
            <w:tcW w:w="760" w:type="dxa"/>
            <w:vMerge w:val="continue"/>
            <w:tcBorders>
              <w:left w:val="single" w:color="auto" w:sz="4" w:space="0"/>
              <w:bottom w:val="single" w:color="000000"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p>
        </w:tc>
        <w:tc>
          <w:tcPr>
            <w:tcW w:w="1589" w:type="dxa"/>
            <w:vMerge w:val="continue"/>
            <w:tcBorders>
              <w:top w:val="nil"/>
              <w:left w:val="single" w:color="auto" w:sz="4" w:space="0"/>
              <w:bottom w:val="single" w:color="000000"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p>
        </w:tc>
        <w:tc>
          <w:tcPr>
            <w:tcW w:w="660" w:type="dxa"/>
            <w:vMerge w:val="continue"/>
            <w:tcBorders>
              <w:top w:val="nil"/>
              <w:left w:val="single" w:color="auto" w:sz="4" w:space="0"/>
              <w:bottom w:val="single" w:color="000000"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p>
        </w:tc>
        <w:tc>
          <w:tcPr>
            <w:tcW w:w="1484"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成本情况</w:t>
            </w:r>
          </w:p>
        </w:tc>
        <w:tc>
          <w:tcPr>
            <w:tcW w:w="2656"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项目支出成本</w:t>
            </w:r>
          </w:p>
        </w:tc>
        <w:tc>
          <w:tcPr>
            <w:tcW w:w="1393"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w:t>
            </w:r>
          </w:p>
        </w:tc>
      </w:tr>
      <w:tr>
        <w:tblPrEx>
          <w:tblCellMar>
            <w:top w:w="0" w:type="dxa"/>
            <w:left w:w="108" w:type="dxa"/>
            <w:bottom w:w="0" w:type="dxa"/>
            <w:right w:w="108" w:type="dxa"/>
          </w:tblCellMar>
        </w:tblPrEx>
        <w:trPr>
          <w:trHeight w:val="597" w:hRule="atLeast"/>
        </w:trPr>
        <w:tc>
          <w:tcPr>
            <w:tcW w:w="776" w:type="dxa"/>
            <w:vMerge w:val="restart"/>
            <w:tcBorders>
              <w:top w:val="nil"/>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r>
              <w:rPr>
                <w:rFonts w:hint="eastAsia" w:ascii="仿宋" w:hAnsi="仿宋" w:eastAsia="仿宋" w:cs="仿宋"/>
                <w:color w:val="000000"/>
                <w:kern w:val="0"/>
                <w:sz w:val="28"/>
                <w:szCs w:val="28"/>
              </w:rPr>
              <w:t>效益</w:t>
            </w:r>
          </w:p>
        </w:tc>
        <w:tc>
          <w:tcPr>
            <w:tcW w:w="760" w:type="dxa"/>
            <w:vMerge w:val="restart"/>
            <w:tcBorders>
              <w:top w:val="nil"/>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20</w:t>
            </w:r>
          </w:p>
        </w:tc>
        <w:tc>
          <w:tcPr>
            <w:tcW w:w="1589" w:type="dxa"/>
            <w:vMerge w:val="restart"/>
            <w:tcBorders>
              <w:top w:val="nil"/>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 w:hAnsi="仿宋" w:eastAsia="仿宋" w:cs="仿宋"/>
                <w:color w:val="000000"/>
                <w:kern w:val="0"/>
                <w:sz w:val="28"/>
                <w:szCs w:val="28"/>
              </w:rPr>
              <w:t>项目效益</w:t>
            </w:r>
          </w:p>
        </w:tc>
        <w:tc>
          <w:tcPr>
            <w:tcW w:w="660" w:type="dxa"/>
            <w:vMerge w:val="restart"/>
            <w:tcBorders>
              <w:top w:val="nil"/>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15</w:t>
            </w:r>
          </w:p>
        </w:tc>
        <w:tc>
          <w:tcPr>
            <w:tcW w:w="1484" w:type="dxa"/>
            <w:vMerge w:val="restart"/>
            <w:tcBorders>
              <w:top w:val="nil"/>
              <w:left w:val="nil"/>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p>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社会效益</w:t>
            </w:r>
          </w:p>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p>
        </w:tc>
        <w:tc>
          <w:tcPr>
            <w:tcW w:w="2656"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contextualSpacing/>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保障文化中心楼内开展活动所需功能用房正常运行</w:t>
            </w:r>
          </w:p>
        </w:tc>
        <w:tc>
          <w:tcPr>
            <w:tcW w:w="1393"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lang w:val="en-US" w:eastAsia="zh-CN"/>
              </w:rPr>
              <w:t>8</w:t>
            </w:r>
          </w:p>
        </w:tc>
      </w:tr>
      <w:tr>
        <w:tblPrEx>
          <w:tblCellMar>
            <w:top w:w="0" w:type="dxa"/>
            <w:left w:w="108" w:type="dxa"/>
            <w:bottom w:w="0" w:type="dxa"/>
            <w:right w:w="108" w:type="dxa"/>
          </w:tblCellMar>
        </w:tblPrEx>
        <w:trPr>
          <w:trHeight w:val="597" w:hRule="atLeast"/>
        </w:trPr>
        <w:tc>
          <w:tcPr>
            <w:tcW w:w="776" w:type="dxa"/>
            <w:vMerge w:val="continue"/>
            <w:tcBorders>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sz w:val="28"/>
                <w:szCs w:val="28"/>
              </w:rPr>
            </w:pPr>
          </w:p>
        </w:tc>
        <w:tc>
          <w:tcPr>
            <w:tcW w:w="760" w:type="dxa"/>
            <w:vMerge w:val="continue"/>
            <w:tcBorders>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sz w:val="28"/>
                <w:szCs w:val="28"/>
              </w:rPr>
            </w:pPr>
          </w:p>
        </w:tc>
        <w:tc>
          <w:tcPr>
            <w:tcW w:w="1589" w:type="dxa"/>
            <w:vMerge w:val="continue"/>
            <w:tcBorders>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sz w:val="28"/>
                <w:szCs w:val="28"/>
              </w:rPr>
            </w:pPr>
          </w:p>
        </w:tc>
        <w:tc>
          <w:tcPr>
            <w:tcW w:w="660" w:type="dxa"/>
            <w:vMerge w:val="continue"/>
            <w:tcBorders>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sz w:val="28"/>
                <w:szCs w:val="28"/>
              </w:rPr>
            </w:pPr>
          </w:p>
        </w:tc>
        <w:tc>
          <w:tcPr>
            <w:tcW w:w="1484" w:type="dxa"/>
            <w:vMerge w:val="continue"/>
            <w:tcBorders>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p>
        </w:tc>
        <w:tc>
          <w:tcPr>
            <w:tcW w:w="2656"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持续满足群众对精神文化的需求</w:t>
            </w:r>
          </w:p>
        </w:tc>
        <w:tc>
          <w:tcPr>
            <w:tcW w:w="1393"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lang w:val="en-US" w:eastAsia="zh-CN"/>
              </w:rPr>
              <w:t>7</w:t>
            </w:r>
          </w:p>
        </w:tc>
      </w:tr>
      <w:tr>
        <w:tblPrEx>
          <w:tblCellMar>
            <w:top w:w="0" w:type="dxa"/>
            <w:left w:w="108" w:type="dxa"/>
            <w:bottom w:w="0" w:type="dxa"/>
            <w:right w:w="108" w:type="dxa"/>
          </w:tblCellMar>
        </w:tblPrEx>
        <w:trPr>
          <w:trHeight w:val="597" w:hRule="atLeast"/>
        </w:trPr>
        <w:tc>
          <w:tcPr>
            <w:tcW w:w="776" w:type="dxa"/>
            <w:vMerge w:val="continue"/>
            <w:tcBorders>
              <w:left w:val="single" w:color="auto" w:sz="4" w:space="0"/>
              <w:bottom w:val="single" w:color="000000"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p>
        </w:tc>
        <w:tc>
          <w:tcPr>
            <w:tcW w:w="760" w:type="dxa"/>
            <w:vMerge w:val="continue"/>
            <w:tcBorders>
              <w:left w:val="single" w:color="auto" w:sz="4" w:space="0"/>
              <w:bottom w:val="single" w:color="000000"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p>
        </w:tc>
        <w:tc>
          <w:tcPr>
            <w:tcW w:w="1589"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p>
        </w:tc>
        <w:tc>
          <w:tcPr>
            <w:tcW w:w="66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5</w:t>
            </w:r>
          </w:p>
        </w:tc>
        <w:tc>
          <w:tcPr>
            <w:tcW w:w="1484"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服务对象满意</w:t>
            </w:r>
            <w:r>
              <w:rPr>
                <w:rFonts w:hint="eastAsia" w:ascii="仿宋_GB2312" w:hAnsi="仿宋_GB2312" w:eastAsia="仿宋_GB2312" w:cs="仿宋_GB2312"/>
                <w:kern w:val="0"/>
                <w:sz w:val="28"/>
                <w:szCs w:val="28"/>
              </w:rPr>
              <w:t>度</w:t>
            </w:r>
          </w:p>
        </w:tc>
        <w:tc>
          <w:tcPr>
            <w:tcW w:w="2656"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kern w:val="0"/>
                <w:sz w:val="28"/>
                <w:szCs w:val="28"/>
              </w:rPr>
              <w:t>塔城市民对设施建设的满意度</w:t>
            </w:r>
          </w:p>
        </w:tc>
        <w:tc>
          <w:tcPr>
            <w:tcW w:w="1393"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5</w:t>
            </w:r>
          </w:p>
        </w:tc>
      </w:tr>
      <w:tr>
        <w:tblPrEx>
          <w:tblCellMar>
            <w:top w:w="0" w:type="dxa"/>
            <w:left w:w="108" w:type="dxa"/>
            <w:bottom w:w="0" w:type="dxa"/>
            <w:right w:w="108" w:type="dxa"/>
          </w:tblCellMar>
        </w:tblPrEx>
        <w:trPr>
          <w:trHeight w:val="574" w:hRule="atLeast"/>
        </w:trPr>
        <w:tc>
          <w:tcPr>
            <w:tcW w:w="776"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合计</w:t>
            </w:r>
          </w:p>
        </w:tc>
        <w:tc>
          <w:tcPr>
            <w:tcW w:w="760"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100</w:t>
            </w:r>
          </w:p>
        </w:tc>
        <w:tc>
          <w:tcPr>
            <w:tcW w:w="1589"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60"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100</w:t>
            </w:r>
          </w:p>
        </w:tc>
        <w:tc>
          <w:tcPr>
            <w:tcW w:w="4140" w:type="dxa"/>
            <w:gridSpan w:val="2"/>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1393"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hint="default"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100</w:t>
            </w:r>
          </w:p>
        </w:tc>
      </w:tr>
    </w:tbl>
    <w:p>
      <w:pPr>
        <w:pStyle w:val="3"/>
        <w:pageBreakBefore w:val="0"/>
        <w:kinsoku/>
        <w:wordWrap/>
        <w:overflowPunct/>
        <w:topLinePunct w:val="0"/>
        <w:autoSpaceDE/>
        <w:autoSpaceDN/>
        <w:bidi w:val="0"/>
        <w:adjustRightInd/>
        <w:spacing w:before="0" w:after="0" w:line="560" w:lineRule="exact"/>
        <w:ind w:firstLine="643" w:firstLineChars="200"/>
        <w:rPr>
          <w:rFonts w:hint="eastAsia" w:ascii="仿宋_GB2312" w:hAnsi="仿宋_GB2312" w:eastAsia="仿宋_GB2312" w:cs="仿宋_GB2312"/>
        </w:rPr>
      </w:pPr>
      <w:r>
        <w:rPr>
          <w:rFonts w:hint="eastAsia" w:ascii="仿宋_GB2312" w:hAnsi="仿宋_GB2312" w:eastAsia="仿宋_GB2312" w:cs="仿宋_GB2312"/>
        </w:rPr>
        <w:t>3、绩效评价标准</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绩效评价标准通常包括计划标准、行业标准、历史标准等，用于对绩效指标完成情况进行比较。本次评价主要采用了计划标准和行业标准。</w:t>
      </w:r>
    </w:p>
    <w:p>
      <w:pPr>
        <w:pStyle w:val="3"/>
        <w:pageBreakBefore w:val="0"/>
        <w:kinsoku/>
        <w:wordWrap/>
        <w:overflowPunct/>
        <w:topLinePunct w:val="0"/>
        <w:autoSpaceDE/>
        <w:autoSpaceDN/>
        <w:bidi w:val="0"/>
        <w:adjustRightInd/>
        <w:spacing w:before="0" w:after="0" w:line="560" w:lineRule="exact"/>
        <w:ind w:firstLine="643" w:firstLineChars="200"/>
        <w:rPr>
          <w:rFonts w:hint="eastAsia" w:ascii="仿宋_GB2312" w:hAnsi="仿宋_GB2312" w:eastAsia="仿宋_GB2312" w:cs="仿宋_GB2312"/>
        </w:rPr>
      </w:pPr>
      <w:r>
        <w:rPr>
          <w:rFonts w:hint="eastAsia" w:ascii="仿宋_GB2312" w:hAnsi="仿宋_GB2312" w:eastAsia="仿宋_GB2312" w:cs="仿宋_GB2312"/>
        </w:rPr>
        <w:t>4、评价方法</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绩效评价方法主要包括成本效益分析法、比较法、因素分析法、最低成本法、公众评判法、标杆管理法等。针对本项目，在评价过程中主要采用了因素分析法、成本效益分析法等。</w:t>
      </w:r>
    </w:p>
    <w:p>
      <w:pPr>
        <w:pStyle w:val="10"/>
        <w:pageBreakBefore w:val="0"/>
        <w:widowControl/>
        <w:shd w:val="clear" w:color="auto" w:fill="FFFFFF"/>
        <w:kinsoku/>
        <w:wordWrap/>
        <w:overflowPunct/>
        <w:topLinePunct w:val="0"/>
        <w:autoSpaceDE/>
        <w:autoSpaceDN/>
        <w:bidi w:val="0"/>
        <w:adjustRightInd/>
        <w:spacing w:line="560" w:lineRule="exact"/>
        <w:ind w:firstLine="482" w:firstLineChars="150"/>
        <w:rPr>
          <w:rFonts w:ascii="楷体" w:hAnsi="楷体" w:eastAsia="楷体" w:cs="楷体"/>
          <w:b/>
          <w:sz w:val="32"/>
          <w:szCs w:val="32"/>
        </w:rPr>
      </w:pPr>
      <w:r>
        <w:rPr>
          <w:rFonts w:hint="eastAsia" w:ascii="楷体" w:hAnsi="楷体" w:eastAsia="楷体" w:cs="楷体"/>
          <w:b/>
          <w:sz w:val="32"/>
          <w:szCs w:val="32"/>
        </w:rPr>
        <w:t>（四）绩效评价工作过程</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自评价项目启动以来，项目组通过前期与财务、项目管理人员等充分准备，了解项目的实施情况、资金使用情况，对该项目的满意情况做出相应的解答，完成了项目绩效评价工作方案，明确了评价的目的、方法、原则、指标、标准、调查方案等。项目评价期间，项目组严格按照工作方案，经过数据采集、问卷调查及数据复核、访谈、数据分析和报告撰写等环节，顺利完成了文化中心提升改造项目的绩效评价工作。</w:t>
      </w:r>
    </w:p>
    <w:p>
      <w:pPr>
        <w:pageBreakBefore w:val="0"/>
        <w:kinsoku/>
        <w:wordWrap/>
        <w:overflowPunct/>
        <w:topLinePunct w:val="0"/>
        <w:autoSpaceDE/>
        <w:autoSpaceDN/>
        <w:bidi w:val="0"/>
        <w:adjustRightInd/>
        <w:spacing w:line="560" w:lineRule="exact"/>
        <w:ind w:firstLine="640" w:firstLineChars="200"/>
        <w:contextualSpacing/>
        <w:rPr>
          <w:rFonts w:ascii="黑体" w:hAnsi="黑体" w:eastAsia="黑体" w:cs="黑体"/>
          <w:sz w:val="32"/>
          <w:szCs w:val="32"/>
        </w:rPr>
      </w:pPr>
      <w:r>
        <w:rPr>
          <w:rFonts w:hint="eastAsia" w:ascii="黑体" w:hAnsi="黑体" w:eastAsia="黑体" w:cs="黑体"/>
          <w:sz w:val="32"/>
          <w:szCs w:val="32"/>
        </w:rPr>
        <w:t>三、综合评价情况及评价结论</w:t>
      </w:r>
    </w:p>
    <w:p>
      <w:pPr>
        <w:pageBreakBefore w:val="0"/>
        <w:kinsoku/>
        <w:wordWrap/>
        <w:overflowPunct/>
        <w:topLinePunct w:val="0"/>
        <w:autoSpaceDE/>
        <w:autoSpaceDN/>
        <w:bidi w:val="0"/>
        <w:adjustRightInd/>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运用由项目组制订评价指标体系及评分标准，通过数据采集、问卷调查及访谈，对塔城文化中心提升改造项目进行客观评价，最终评分结果：最终评分结果：总得分为</w:t>
      </w:r>
      <w:r>
        <w:rPr>
          <w:rFonts w:hint="eastAsia" w:ascii="仿宋_GB2312" w:hAnsi="仿宋" w:eastAsia="仿宋_GB2312" w:cs="仿宋"/>
          <w:sz w:val="32"/>
          <w:szCs w:val="32"/>
          <w:lang w:val="en-US" w:eastAsia="zh-CN"/>
        </w:rPr>
        <w:t>100</w:t>
      </w:r>
      <w:r>
        <w:rPr>
          <w:rFonts w:hint="eastAsia" w:ascii="仿宋_GB2312" w:hAnsi="仿宋" w:eastAsia="仿宋_GB2312" w:cs="仿宋"/>
          <w:sz w:val="32"/>
          <w:szCs w:val="32"/>
        </w:rPr>
        <w:t>分，属于“优”。其中：其中：决策类指标权重为20分，得分为20分，得分率为100%；过程类指标权重为20分，得分为20分，得分率为100%；产出类指标权重为40分，得分为10分，得分率为100%；项目效益类指标权重为20分，得分为</w:t>
      </w:r>
      <w:r>
        <w:rPr>
          <w:rFonts w:hint="eastAsia" w:ascii="仿宋_GB2312" w:hAnsi="仿宋" w:eastAsia="仿宋_GB2312" w:cs="仿宋"/>
          <w:sz w:val="32"/>
          <w:szCs w:val="32"/>
          <w:lang w:val="en-US" w:eastAsia="zh-CN"/>
        </w:rPr>
        <w:t>20</w:t>
      </w:r>
      <w:r>
        <w:rPr>
          <w:rFonts w:hint="eastAsia" w:ascii="仿宋_GB2312" w:hAnsi="仿宋" w:eastAsia="仿宋_GB2312" w:cs="仿宋"/>
          <w:sz w:val="32"/>
          <w:szCs w:val="32"/>
        </w:rPr>
        <w:t>分，得分率为</w:t>
      </w:r>
      <w:r>
        <w:rPr>
          <w:rFonts w:hint="eastAsia" w:ascii="仿宋_GB2312" w:hAnsi="仿宋" w:eastAsia="仿宋_GB2312" w:cs="仿宋"/>
          <w:sz w:val="32"/>
          <w:szCs w:val="32"/>
          <w:lang w:val="en-US" w:eastAsia="zh-CN"/>
        </w:rPr>
        <w:t>100</w:t>
      </w:r>
      <w:r>
        <w:rPr>
          <w:rFonts w:hint="eastAsia" w:ascii="仿宋_GB2312" w:hAnsi="仿宋" w:eastAsia="仿宋_GB2312" w:cs="仿宋"/>
          <w:sz w:val="32"/>
          <w:szCs w:val="32"/>
        </w:rPr>
        <w:t>%。</w:t>
      </w:r>
    </w:p>
    <w:p>
      <w:pPr>
        <w:pStyle w:val="19"/>
        <w:pageBreakBefore w:val="0"/>
        <w:kinsoku/>
        <w:wordWrap/>
        <w:overflowPunct/>
        <w:topLinePunct w:val="0"/>
        <w:autoSpaceDE/>
        <w:autoSpaceDN/>
        <w:bidi w:val="0"/>
        <w:adjustRightInd/>
        <w:spacing w:line="560" w:lineRule="exact"/>
        <w:ind w:firstLine="707" w:firstLineChars="221"/>
        <w:jc w:val="center"/>
        <w:rPr>
          <w:rFonts w:ascii="仿宋" w:hAnsi="仿宋" w:eastAsia="仿宋" w:cs="仿宋"/>
          <w:sz w:val="32"/>
          <w:szCs w:val="32"/>
        </w:rPr>
      </w:pPr>
      <w:r>
        <w:rPr>
          <w:rFonts w:hint="eastAsia" w:ascii="仿宋_GB2312" w:hAnsi="仿宋" w:eastAsia="仿宋_GB2312" w:cs="仿宋"/>
          <w:sz w:val="32"/>
          <w:szCs w:val="32"/>
        </w:rPr>
        <w:t>塔城文化中心提升改造项目绩效评价项目得分情况表</w:t>
      </w:r>
    </w:p>
    <w:tbl>
      <w:tblPr>
        <w:tblStyle w:val="12"/>
        <w:tblW w:w="9007" w:type="dxa"/>
        <w:tblInd w:w="0" w:type="dxa"/>
        <w:tblLayout w:type="fixed"/>
        <w:tblCellMar>
          <w:top w:w="0" w:type="dxa"/>
          <w:left w:w="108" w:type="dxa"/>
          <w:bottom w:w="0" w:type="dxa"/>
          <w:right w:w="108" w:type="dxa"/>
        </w:tblCellMar>
      </w:tblPr>
      <w:tblGrid>
        <w:gridCol w:w="2828"/>
        <w:gridCol w:w="2261"/>
        <w:gridCol w:w="2111"/>
        <w:gridCol w:w="1807"/>
      </w:tblGrid>
      <w:tr>
        <w:tblPrEx>
          <w:tblCellMar>
            <w:top w:w="0" w:type="dxa"/>
            <w:left w:w="108" w:type="dxa"/>
            <w:bottom w:w="0" w:type="dxa"/>
            <w:right w:w="108" w:type="dxa"/>
          </w:tblCellMar>
        </w:tblPrEx>
        <w:trPr>
          <w:trHeight w:val="510" w:hRule="exact"/>
          <w:tblHeader/>
        </w:trPr>
        <w:tc>
          <w:tcPr>
            <w:tcW w:w="2828" w:type="dxa"/>
            <w:tcBorders>
              <w:top w:val="single" w:color="auto" w:sz="8" w:space="0"/>
              <w:left w:val="single" w:color="auto" w:sz="8" w:space="0"/>
              <w:bottom w:val="single" w:color="auto" w:sz="8" w:space="0"/>
              <w:right w:val="single" w:color="auto" w:sz="8" w:space="0"/>
            </w:tcBorders>
            <w:shd w:val="clear" w:color="000000" w:fill="A6A6A6"/>
            <w:vAlign w:val="center"/>
          </w:tcPr>
          <w:p>
            <w:pPr>
              <w:pageBreakBefore w:val="0"/>
              <w:kinsoku/>
              <w:wordWrap/>
              <w:overflowPunct/>
              <w:topLinePunct w:val="0"/>
              <w:autoSpaceDE/>
              <w:autoSpaceDN/>
              <w:bidi w:val="0"/>
              <w:adjustRightInd/>
              <w:spacing w:line="560" w:lineRule="exact"/>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一级指标</w:t>
            </w:r>
          </w:p>
        </w:tc>
        <w:tc>
          <w:tcPr>
            <w:tcW w:w="2261" w:type="dxa"/>
            <w:tcBorders>
              <w:top w:val="single" w:color="auto" w:sz="8" w:space="0"/>
              <w:left w:val="nil"/>
              <w:bottom w:val="single" w:color="auto" w:sz="8" w:space="0"/>
              <w:right w:val="single" w:color="auto" w:sz="8" w:space="0"/>
            </w:tcBorders>
            <w:shd w:val="clear" w:color="000000" w:fill="A6A6A6"/>
            <w:vAlign w:val="center"/>
          </w:tcPr>
          <w:p>
            <w:pPr>
              <w:pageBreakBefore w:val="0"/>
              <w:kinsoku/>
              <w:wordWrap/>
              <w:overflowPunct/>
              <w:topLinePunct w:val="0"/>
              <w:autoSpaceDE/>
              <w:autoSpaceDN/>
              <w:bidi w:val="0"/>
              <w:adjustRightInd/>
              <w:spacing w:line="560" w:lineRule="exact"/>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权重</w:t>
            </w:r>
          </w:p>
        </w:tc>
        <w:tc>
          <w:tcPr>
            <w:tcW w:w="2111" w:type="dxa"/>
            <w:tcBorders>
              <w:top w:val="single" w:color="auto" w:sz="8" w:space="0"/>
              <w:left w:val="nil"/>
              <w:bottom w:val="single" w:color="auto" w:sz="8" w:space="0"/>
              <w:right w:val="single" w:color="auto" w:sz="8" w:space="0"/>
            </w:tcBorders>
            <w:shd w:val="clear" w:color="000000" w:fill="A6A6A6"/>
            <w:vAlign w:val="center"/>
          </w:tcPr>
          <w:p>
            <w:pPr>
              <w:pageBreakBefore w:val="0"/>
              <w:kinsoku/>
              <w:wordWrap/>
              <w:overflowPunct/>
              <w:topLinePunct w:val="0"/>
              <w:autoSpaceDE/>
              <w:autoSpaceDN/>
              <w:bidi w:val="0"/>
              <w:adjustRightInd/>
              <w:spacing w:line="560" w:lineRule="exact"/>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得分率</w:t>
            </w:r>
          </w:p>
        </w:tc>
        <w:tc>
          <w:tcPr>
            <w:tcW w:w="1807" w:type="dxa"/>
            <w:tcBorders>
              <w:top w:val="single" w:color="auto" w:sz="8" w:space="0"/>
              <w:left w:val="nil"/>
              <w:bottom w:val="single" w:color="auto" w:sz="8" w:space="0"/>
              <w:right w:val="single" w:color="auto" w:sz="8" w:space="0"/>
            </w:tcBorders>
            <w:shd w:val="clear" w:color="000000" w:fill="A6A6A6"/>
            <w:vAlign w:val="center"/>
          </w:tcPr>
          <w:p>
            <w:pPr>
              <w:pageBreakBefore w:val="0"/>
              <w:kinsoku/>
              <w:wordWrap/>
              <w:overflowPunct/>
              <w:topLinePunct w:val="0"/>
              <w:autoSpaceDE/>
              <w:autoSpaceDN/>
              <w:bidi w:val="0"/>
              <w:adjustRightInd/>
              <w:spacing w:line="560" w:lineRule="exact"/>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实际得分</w:t>
            </w:r>
          </w:p>
        </w:tc>
      </w:tr>
      <w:tr>
        <w:tblPrEx>
          <w:tblCellMar>
            <w:top w:w="0" w:type="dxa"/>
            <w:left w:w="108" w:type="dxa"/>
            <w:bottom w:w="0" w:type="dxa"/>
            <w:right w:w="108" w:type="dxa"/>
          </w:tblCellMar>
        </w:tblPrEx>
        <w:trPr>
          <w:trHeight w:val="510" w:hRule="exact"/>
          <w:tblHeader/>
        </w:trPr>
        <w:tc>
          <w:tcPr>
            <w:tcW w:w="2828" w:type="dxa"/>
            <w:tcBorders>
              <w:top w:val="single" w:color="auto" w:sz="8" w:space="0"/>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决策</w:t>
            </w:r>
          </w:p>
        </w:tc>
        <w:tc>
          <w:tcPr>
            <w:tcW w:w="2261" w:type="dxa"/>
            <w:tcBorders>
              <w:top w:val="single" w:color="auto" w:sz="8" w:space="0"/>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sz w:val="32"/>
                <w:szCs w:val="32"/>
              </w:rPr>
              <w:t>20</w:t>
            </w:r>
          </w:p>
        </w:tc>
        <w:tc>
          <w:tcPr>
            <w:tcW w:w="2111" w:type="dxa"/>
            <w:tcBorders>
              <w:top w:val="single" w:color="auto" w:sz="8" w:space="0"/>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100%</w:t>
            </w:r>
          </w:p>
        </w:tc>
        <w:tc>
          <w:tcPr>
            <w:tcW w:w="1807" w:type="dxa"/>
            <w:tcBorders>
              <w:top w:val="single" w:color="auto" w:sz="8" w:space="0"/>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sz w:val="32"/>
                <w:szCs w:val="32"/>
              </w:rPr>
              <w:t>20</w:t>
            </w:r>
          </w:p>
        </w:tc>
      </w:tr>
      <w:tr>
        <w:tblPrEx>
          <w:tblCellMar>
            <w:top w:w="0" w:type="dxa"/>
            <w:left w:w="108" w:type="dxa"/>
            <w:bottom w:w="0" w:type="dxa"/>
            <w:right w:w="108" w:type="dxa"/>
          </w:tblCellMar>
        </w:tblPrEx>
        <w:trPr>
          <w:trHeight w:val="510" w:hRule="exact"/>
          <w:tblHeader/>
        </w:trPr>
        <w:tc>
          <w:tcPr>
            <w:tcW w:w="2828" w:type="dxa"/>
            <w:tcBorders>
              <w:top w:val="nil"/>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过程</w:t>
            </w:r>
          </w:p>
        </w:tc>
        <w:tc>
          <w:tcPr>
            <w:tcW w:w="2261"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sz w:val="32"/>
                <w:szCs w:val="32"/>
              </w:rPr>
              <w:t>20</w:t>
            </w:r>
          </w:p>
        </w:tc>
        <w:tc>
          <w:tcPr>
            <w:tcW w:w="2111"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sz w:val="32"/>
                <w:szCs w:val="32"/>
              </w:rPr>
              <w:t>100%</w:t>
            </w:r>
          </w:p>
        </w:tc>
        <w:tc>
          <w:tcPr>
            <w:tcW w:w="1807"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sz w:val="32"/>
                <w:szCs w:val="32"/>
              </w:rPr>
              <w:t>20</w:t>
            </w:r>
          </w:p>
        </w:tc>
      </w:tr>
      <w:tr>
        <w:tblPrEx>
          <w:tblCellMar>
            <w:top w:w="0" w:type="dxa"/>
            <w:left w:w="108" w:type="dxa"/>
            <w:bottom w:w="0" w:type="dxa"/>
            <w:right w:w="108" w:type="dxa"/>
          </w:tblCellMar>
        </w:tblPrEx>
        <w:trPr>
          <w:trHeight w:val="510" w:hRule="exact"/>
          <w:tblHeader/>
        </w:trPr>
        <w:tc>
          <w:tcPr>
            <w:tcW w:w="2828" w:type="dxa"/>
            <w:tcBorders>
              <w:top w:val="nil"/>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产出</w:t>
            </w:r>
          </w:p>
        </w:tc>
        <w:tc>
          <w:tcPr>
            <w:tcW w:w="2261"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sz w:val="32"/>
                <w:szCs w:val="32"/>
              </w:rPr>
              <w:t>40</w:t>
            </w:r>
          </w:p>
        </w:tc>
        <w:tc>
          <w:tcPr>
            <w:tcW w:w="2111"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sz w:val="32"/>
                <w:szCs w:val="32"/>
              </w:rPr>
              <w:t>100%</w:t>
            </w:r>
          </w:p>
        </w:tc>
        <w:tc>
          <w:tcPr>
            <w:tcW w:w="1807"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sz w:val="32"/>
                <w:szCs w:val="32"/>
              </w:rPr>
              <w:t>40</w:t>
            </w:r>
          </w:p>
        </w:tc>
      </w:tr>
      <w:tr>
        <w:tblPrEx>
          <w:tblCellMar>
            <w:top w:w="0" w:type="dxa"/>
            <w:left w:w="108" w:type="dxa"/>
            <w:bottom w:w="0" w:type="dxa"/>
            <w:right w:w="108" w:type="dxa"/>
          </w:tblCellMar>
        </w:tblPrEx>
        <w:trPr>
          <w:trHeight w:val="510" w:hRule="exact"/>
          <w:tblHeader/>
        </w:trPr>
        <w:tc>
          <w:tcPr>
            <w:tcW w:w="2828" w:type="dxa"/>
            <w:tcBorders>
              <w:top w:val="nil"/>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效益</w:t>
            </w:r>
          </w:p>
        </w:tc>
        <w:tc>
          <w:tcPr>
            <w:tcW w:w="2261"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20</w:t>
            </w:r>
          </w:p>
        </w:tc>
        <w:tc>
          <w:tcPr>
            <w:tcW w:w="2111"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80%</w:t>
            </w:r>
          </w:p>
        </w:tc>
        <w:tc>
          <w:tcPr>
            <w:tcW w:w="1807"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20</w:t>
            </w:r>
          </w:p>
        </w:tc>
      </w:tr>
      <w:tr>
        <w:tblPrEx>
          <w:tblCellMar>
            <w:top w:w="0" w:type="dxa"/>
            <w:left w:w="108" w:type="dxa"/>
            <w:bottom w:w="0" w:type="dxa"/>
            <w:right w:w="108" w:type="dxa"/>
          </w:tblCellMar>
        </w:tblPrEx>
        <w:trPr>
          <w:trHeight w:val="510" w:hRule="exact"/>
          <w:tblHeader/>
        </w:trPr>
        <w:tc>
          <w:tcPr>
            <w:tcW w:w="2828" w:type="dxa"/>
            <w:tcBorders>
              <w:top w:val="nil"/>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合计</w:t>
            </w:r>
          </w:p>
        </w:tc>
        <w:tc>
          <w:tcPr>
            <w:tcW w:w="2261"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themeColor="text1"/>
                <w:kern w:val="0"/>
                <w:sz w:val="32"/>
                <w:szCs w:val="32"/>
                <w14:textFill>
                  <w14:solidFill>
                    <w14:schemeClr w14:val="tx1"/>
                  </w14:solidFill>
                </w14:textFill>
              </w:rPr>
              <w:t>100</w:t>
            </w:r>
          </w:p>
        </w:tc>
        <w:tc>
          <w:tcPr>
            <w:tcW w:w="2111"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95%</w:t>
            </w:r>
          </w:p>
        </w:tc>
        <w:tc>
          <w:tcPr>
            <w:tcW w:w="1807"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pacing w:line="560" w:lineRule="exact"/>
              <w:jc w:val="center"/>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100</w:t>
            </w:r>
          </w:p>
        </w:tc>
      </w:tr>
    </w:tbl>
    <w:p>
      <w:pPr>
        <w:pageBreakBefore w:val="0"/>
        <w:kinsoku/>
        <w:wordWrap/>
        <w:overflowPunct/>
        <w:topLinePunct w:val="0"/>
        <w:autoSpaceDE/>
        <w:autoSpaceDN/>
        <w:bidi w:val="0"/>
        <w:adjustRightInd/>
        <w:spacing w:line="560" w:lineRule="exact"/>
        <w:ind w:firstLine="640" w:firstLineChars="200"/>
        <w:contextualSpacing/>
        <w:rPr>
          <w:rFonts w:ascii="黑体" w:hAnsi="黑体" w:eastAsia="黑体" w:cs="黑体"/>
          <w:sz w:val="32"/>
          <w:szCs w:val="32"/>
        </w:rPr>
      </w:pPr>
      <w:r>
        <w:rPr>
          <w:rFonts w:hint="eastAsia" w:ascii="黑体" w:hAnsi="黑体" w:eastAsia="黑体" w:cs="黑体"/>
          <w:sz w:val="32"/>
          <w:szCs w:val="32"/>
        </w:rPr>
        <w:t>四、绩效评价指标分析</w:t>
      </w:r>
    </w:p>
    <w:p>
      <w:pPr>
        <w:pageBreakBefore w:val="0"/>
        <w:kinsoku/>
        <w:wordWrap/>
        <w:overflowPunct/>
        <w:topLinePunct w:val="0"/>
        <w:autoSpaceDE/>
        <w:autoSpaceDN/>
        <w:bidi w:val="0"/>
        <w:adjustRightInd/>
        <w:spacing w:line="560" w:lineRule="exact"/>
        <w:ind w:firstLine="643" w:firstLineChars="200"/>
        <w:contextualSpacing/>
        <w:rPr>
          <w:rFonts w:ascii="楷体" w:hAnsi="楷体" w:eastAsia="楷体" w:cs="楷体"/>
          <w:b/>
          <w:bCs/>
          <w:sz w:val="32"/>
          <w:szCs w:val="32"/>
        </w:rPr>
      </w:pPr>
      <w:r>
        <w:rPr>
          <w:rFonts w:hint="eastAsia" w:ascii="楷体" w:hAnsi="楷体" w:eastAsia="楷体" w:cs="楷体"/>
          <w:b/>
          <w:bCs/>
          <w:sz w:val="32"/>
          <w:szCs w:val="32"/>
        </w:rPr>
        <w:t>（一）项目决策情况。</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项目决策指标从项目决策、绩效目标、资金投入3个方面对项目的决策进行考察，项目决策类指标分值20分，实际得分20分，得分率100%。项目决策指标得分情况如表所示。</w:t>
      </w:r>
    </w:p>
    <w:tbl>
      <w:tblPr>
        <w:tblStyle w:val="12"/>
        <w:tblW w:w="9060" w:type="dxa"/>
        <w:tblInd w:w="0" w:type="dxa"/>
        <w:tblLayout w:type="fixed"/>
        <w:tblCellMar>
          <w:top w:w="0" w:type="dxa"/>
          <w:left w:w="108" w:type="dxa"/>
          <w:bottom w:w="0" w:type="dxa"/>
          <w:right w:w="108" w:type="dxa"/>
        </w:tblCellMar>
      </w:tblPr>
      <w:tblGrid>
        <w:gridCol w:w="2674"/>
        <w:gridCol w:w="2412"/>
        <w:gridCol w:w="2111"/>
        <w:gridCol w:w="1863"/>
      </w:tblGrid>
      <w:tr>
        <w:tblPrEx>
          <w:tblCellMar>
            <w:top w:w="0" w:type="dxa"/>
            <w:left w:w="108" w:type="dxa"/>
            <w:bottom w:w="0" w:type="dxa"/>
            <w:right w:w="108" w:type="dxa"/>
          </w:tblCellMar>
        </w:tblPrEx>
        <w:trPr>
          <w:trHeight w:val="480" w:hRule="atLeast"/>
        </w:trPr>
        <w:tc>
          <w:tcPr>
            <w:tcW w:w="9060" w:type="dxa"/>
            <w:gridSpan w:val="4"/>
            <w:tcBorders>
              <w:top w:val="nil"/>
              <w:left w:val="nil"/>
              <w:bottom w:val="single" w:color="auto" w:sz="8" w:space="0"/>
              <w:right w:val="nil"/>
            </w:tcBorders>
            <w:vAlign w:val="center"/>
          </w:tcPr>
          <w:p>
            <w:pPr>
              <w:pageBreakBefore w:val="0"/>
              <w:widowControl/>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项目决策指标得分情况</w:t>
            </w:r>
          </w:p>
        </w:tc>
      </w:tr>
      <w:tr>
        <w:tblPrEx>
          <w:tblCellMar>
            <w:top w:w="0" w:type="dxa"/>
            <w:left w:w="108" w:type="dxa"/>
            <w:bottom w:w="0" w:type="dxa"/>
            <w:right w:w="108" w:type="dxa"/>
          </w:tblCellMar>
        </w:tblPrEx>
        <w:trPr>
          <w:trHeight w:val="510" w:hRule="exact"/>
        </w:trPr>
        <w:tc>
          <w:tcPr>
            <w:tcW w:w="2674" w:type="dxa"/>
            <w:tcBorders>
              <w:top w:val="nil"/>
              <w:left w:val="single" w:color="auto" w:sz="8" w:space="0"/>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三级指标</w:t>
            </w:r>
          </w:p>
        </w:tc>
        <w:tc>
          <w:tcPr>
            <w:tcW w:w="2412"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权重</w:t>
            </w:r>
          </w:p>
        </w:tc>
        <w:tc>
          <w:tcPr>
            <w:tcW w:w="2111"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得分率</w:t>
            </w:r>
          </w:p>
        </w:tc>
        <w:tc>
          <w:tcPr>
            <w:tcW w:w="1863"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实际得分</w:t>
            </w:r>
          </w:p>
        </w:tc>
      </w:tr>
      <w:tr>
        <w:tblPrEx>
          <w:tblCellMar>
            <w:top w:w="0" w:type="dxa"/>
            <w:left w:w="108" w:type="dxa"/>
            <w:bottom w:w="0" w:type="dxa"/>
            <w:right w:w="108" w:type="dxa"/>
          </w:tblCellMar>
        </w:tblPrEx>
        <w:trPr>
          <w:trHeight w:val="510" w:hRule="exact"/>
        </w:trPr>
        <w:tc>
          <w:tcPr>
            <w:tcW w:w="2674"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项目决策</w:t>
            </w:r>
          </w:p>
        </w:tc>
        <w:tc>
          <w:tcPr>
            <w:tcW w:w="241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10</w:t>
            </w:r>
          </w:p>
        </w:tc>
        <w:tc>
          <w:tcPr>
            <w:tcW w:w="2111"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100%</w:t>
            </w:r>
          </w:p>
        </w:tc>
        <w:tc>
          <w:tcPr>
            <w:tcW w:w="1863"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10</w:t>
            </w:r>
          </w:p>
        </w:tc>
      </w:tr>
      <w:tr>
        <w:tblPrEx>
          <w:tblCellMar>
            <w:top w:w="0" w:type="dxa"/>
            <w:left w:w="108" w:type="dxa"/>
            <w:bottom w:w="0" w:type="dxa"/>
            <w:right w:w="108" w:type="dxa"/>
          </w:tblCellMar>
        </w:tblPrEx>
        <w:trPr>
          <w:trHeight w:val="510" w:hRule="exact"/>
        </w:trPr>
        <w:tc>
          <w:tcPr>
            <w:tcW w:w="2674"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绩效目标</w:t>
            </w:r>
          </w:p>
        </w:tc>
        <w:tc>
          <w:tcPr>
            <w:tcW w:w="241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5</w:t>
            </w:r>
          </w:p>
        </w:tc>
        <w:tc>
          <w:tcPr>
            <w:tcW w:w="2111"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100%</w:t>
            </w:r>
          </w:p>
        </w:tc>
        <w:tc>
          <w:tcPr>
            <w:tcW w:w="1863"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5</w:t>
            </w:r>
          </w:p>
        </w:tc>
      </w:tr>
      <w:tr>
        <w:tblPrEx>
          <w:tblCellMar>
            <w:top w:w="0" w:type="dxa"/>
            <w:left w:w="108" w:type="dxa"/>
            <w:bottom w:w="0" w:type="dxa"/>
            <w:right w:w="108" w:type="dxa"/>
          </w:tblCellMar>
        </w:tblPrEx>
        <w:trPr>
          <w:trHeight w:val="510" w:hRule="exact"/>
        </w:trPr>
        <w:tc>
          <w:tcPr>
            <w:tcW w:w="2674"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资金投入</w:t>
            </w:r>
          </w:p>
        </w:tc>
        <w:tc>
          <w:tcPr>
            <w:tcW w:w="241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5</w:t>
            </w:r>
          </w:p>
        </w:tc>
        <w:tc>
          <w:tcPr>
            <w:tcW w:w="2111"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100%</w:t>
            </w:r>
          </w:p>
        </w:tc>
        <w:tc>
          <w:tcPr>
            <w:tcW w:w="1863"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5</w:t>
            </w:r>
          </w:p>
        </w:tc>
      </w:tr>
      <w:tr>
        <w:tblPrEx>
          <w:tblCellMar>
            <w:top w:w="0" w:type="dxa"/>
            <w:left w:w="108" w:type="dxa"/>
            <w:bottom w:w="0" w:type="dxa"/>
            <w:right w:w="108" w:type="dxa"/>
          </w:tblCellMar>
        </w:tblPrEx>
        <w:trPr>
          <w:trHeight w:val="510" w:hRule="exact"/>
        </w:trPr>
        <w:tc>
          <w:tcPr>
            <w:tcW w:w="2674" w:type="dxa"/>
            <w:tcBorders>
              <w:top w:val="single" w:color="auto" w:sz="8" w:space="0"/>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合计</w:t>
            </w:r>
          </w:p>
        </w:tc>
        <w:tc>
          <w:tcPr>
            <w:tcW w:w="2412"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20</w:t>
            </w:r>
          </w:p>
        </w:tc>
        <w:tc>
          <w:tcPr>
            <w:tcW w:w="2111"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100%</w:t>
            </w:r>
          </w:p>
        </w:tc>
        <w:tc>
          <w:tcPr>
            <w:tcW w:w="1863"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20</w:t>
            </w:r>
          </w:p>
        </w:tc>
      </w:tr>
    </w:tbl>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对于“项目决策”，塔城文化中心提升改造项目批复等有关要求，在合理工期内完成工程建设任务，保障工程建设质量，有效控制投资概算，实现项目批复要求的经济、社会、可持续影响效益指标。项目的立项符合规划，项目单位的绩效指标设置表述清晰、设置合理、指标设置完整，根据评分标准，得分率为100%。</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对于“绩效目标”，塔城文化中心提升改造项目设置了较为详细的项目支出绩效目标，项目绩效目标的设置，满足合理性和明确性的要求</w:t>
      </w:r>
      <w:r>
        <w:rPr>
          <w:rFonts w:hint="eastAsia" w:ascii="仿宋_GB2312" w:hAnsi="仿宋" w:eastAsia="仿宋_GB2312" w:cs="仿宋"/>
          <w:sz w:val="32"/>
          <w:szCs w:val="32"/>
          <w:lang w:val="en-US" w:eastAsia="zh-CN"/>
        </w:rPr>
        <w:t>,</w:t>
      </w:r>
      <w:r>
        <w:rPr>
          <w:rFonts w:hint="eastAsia" w:ascii="仿宋_GB2312" w:hAnsi="仿宋" w:eastAsia="仿宋_GB2312" w:cs="仿宋"/>
          <w:sz w:val="32"/>
          <w:szCs w:val="32"/>
        </w:rPr>
        <w:t>根据评分标准，该指标实际得分率100%。</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对于“资金投入”，塔城文化中心提升改造项目，资金全部投入到位，总投资1000万元。根据评分标准，该指标实际得分率100%。</w:t>
      </w:r>
    </w:p>
    <w:p>
      <w:pPr>
        <w:pageBreakBefore w:val="0"/>
        <w:kinsoku/>
        <w:wordWrap/>
        <w:overflowPunct/>
        <w:topLinePunct w:val="0"/>
        <w:autoSpaceDE/>
        <w:autoSpaceDN/>
        <w:bidi w:val="0"/>
        <w:adjustRightInd/>
        <w:spacing w:line="560" w:lineRule="exact"/>
        <w:ind w:firstLine="643" w:firstLineChars="200"/>
        <w:contextualSpacing/>
        <w:rPr>
          <w:rFonts w:ascii="楷体" w:hAnsi="楷体" w:eastAsia="楷体" w:cs="楷体"/>
          <w:b/>
          <w:bCs/>
          <w:sz w:val="32"/>
          <w:szCs w:val="32"/>
        </w:rPr>
      </w:pPr>
      <w:r>
        <w:rPr>
          <w:rFonts w:hint="eastAsia" w:ascii="楷体" w:hAnsi="楷体" w:eastAsia="楷体" w:cs="楷体"/>
          <w:b/>
          <w:bCs/>
          <w:sz w:val="32"/>
          <w:szCs w:val="32"/>
        </w:rPr>
        <w:t>（二）项目过程情况。</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项目管理指标从资金到位率、资金使用合规性、管理制度健全性、制度执行有效性5个方面对项目的管理情况进行考察。项目管理类指标分值20分，实际得分</w:t>
      </w:r>
      <w:r>
        <w:rPr>
          <w:rFonts w:hint="eastAsia" w:ascii="仿宋_GB2312" w:hAnsi="仿宋" w:eastAsia="仿宋_GB2312" w:cs="仿宋"/>
          <w:sz w:val="32"/>
          <w:szCs w:val="32"/>
          <w:lang w:val="en-US" w:eastAsia="zh-CN"/>
        </w:rPr>
        <w:t>20</w:t>
      </w:r>
      <w:r>
        <w:rPr>
          <w:rFonts w:hint="eastAsia" w:ascii="仿宋_GB2312" w:hAnsi="仿宋" w:eastAsia="仿宋_GB2312" w:cs="仿宋"/>
          <w:sz w:val="32"/>
          <w:szCs w:val="32"/>
        </w:rPr>
        <w:t>分，得分率为</w:t>
      </w:r>
      <w:r>
        <w:rPr>
          <w:rFonts w:hint="eastAsia" w:ascii="仿宋_GB2312" w:hAnsi="仿宋" w:eastAsia="仿宋_GB2312" w:cs="仿宋"/>
          <w:sz w:val="32"/>
          <w:szCs w:val="32"/>
          <w:lang w:val="en-US" w:eastAsia="zh-CN"/>
        </w:rPr>
        <w:t>100</w:t>
      </w:r>
      <w:r>
        <w:rPr>
          <w:rFonts w:hint="eastAsia" w:ascii="仿宋_GB2312" w:hAnsi="仿宋" w:eastAsia="仿宋_GB2312" w:cs="仿宋"/>
          <w:sz w:val="32"/>
          <w:szCs w:val="32"/>
        </w:rPr>
        <w:t>%。项目管理指标得分情况如表所示。</w:t>
      </w:r>
    </w:p>
    <w:tbl>
      <w:tblPr>
        <w:tblStyle w:val="12"/>
        <w:tblW w:w="8580" w:type="dxa"/>
        <w:tblInd w:w="0" w:type="dxa"/>
        <w:tblLayout w:type="fixed"/>
        <w:tblCellMar>
          <w:top w:w="0" w:type="dxa"/>
          <w:left w:w="108" w:type="dxa"/>
          <w:bottom w:w="0" w:type="dxa"/>
          <w:right w:w="108" w:type="dxa"/>
        </w:tblCellMar>
      </w:tblPr>
      <w:tblGrid>
        <w:gridCol w:w="2326"/>
        <w:gridCol w:w="2396"/>
        <w:gridCol w:w="1972"/>
        <w:gridCol w:w="1886"/>
      </w:tblGrid>
      <w:tr>
        <w:tblPrEx>
          <w:tblCellMar>
            <w:top w:w="0" w:type="dxa"/>
            <w:left w:w="108" w:type="dxa"/>
            <w:bottom w:w="0" w:type="dxa"/>
            <w:right w:w="108" w:type="dxa"/>
          </w:tblCellMar>
        </w:tblPrEx>
        <w:trPr>
          <w:trHeight w:val="559" w:hRule="atLeast"/>
          <w:tblHeader/>
        </w:trPr>
        <w:tc>
          <w:tcPr>
            <w:tcW w:w="8580" w:type="dxa"/>
            <w:gridSpan w:val="4"/>
            <w:tcBorders>
              <w:top w:val="nil"/>
              <w:left w:val="nil"/>
              <w:bottom w:val="single" w:color="auto" w:sz="8" w:space="0"/>
              <w:right w:val="nil"/>
            </w:tcBorders>
            <w:vAlign w:val="center"/>
          </w:tcPr>
          <w:p>
            <w:pPr>
              <w:pageBreakBefore w:val="0"/>
              <w:widowControl/>
              <w:kinsoku/>
              <w:wordWrap/>
              <w:overflowPunct/>
              <w:topLinePunct w:val="0"/>
              <w:autoSpaceDE/>
              <w:autoSpaceDN/>
              <w:bidi w:val="0"/>
              <w:adjustRightInd/>
              <w:spacing w:line="560" w:lineRule="exact"/>
              <w:jc w:val="center"/>
              <w:textAlignment w:val="bottom"/>
              <w:rPr>
                <w:rFonts w:ascii="宋体" w:hAnsi="宋体" w:cs="宋体"/>
                <w:color w:val="000000"/>
                <w:kern w:val="0"/>
                <w:sz w:val="20"/>
                <w:szCs w:val="20"/>
              </w:rPr>
            </w:pPr>
            <w:r>
              <w:rPr>
                <w:rFonts w:hint="eastAsia" w:ascii="仿宋" w:hAnsi="仿宋" w:eastAsia="仿宋" w:cs="仿宋"/>
                <w:b/>
                <w:bCs/>
                <w:color w:val="000000"/>
                <w:kern w:val="0"/>
                <w:sz w:val="32"/>
                <w:szCs w:val="32"/>
              </w:rPr>
              <w:t>项目管理指标得分情况</w:t>
            </w:r>
          </w:p>
        </w:tc>
      </w:tr>
      <w:tr>
        <w:tblPrEx>
          <w:tblCellMar>
            <w:top w:w="0" w:type="dxa"/>
            <w:left w:w="108" w:type="dxa"/>
            <w:bottom w:w="0" w:type="dxa"/>
            <w:right w:w="108" w:type="dxa"/>
          </w:tblCellMar>
        </w:tblPrEx>
        <w:trPr>
          <w:trHeight w:val="509" w:hRule="exact"/>
        </w:trPr>
        <w:tc>
          <w:tcPr>
            <w:tcW w:w="2326"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三级指标</w:t>
            </w:r>
          </w:p>
        </w:tc>
        <w:tc>
          <w:tcPr>
            <w:tcW w:w="239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权重</w:t>
            </w:r>
          </w:p>
        </w:tc>
        <w:tc>
          <w:tcPr>
            <w:tcW w:w="1972"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得分率</w:t>
            </w:r>
          </w:p>
        </w:tc>
        <w:tc>
          <w:tcPr>
            <w:tcW w:w="188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实际得分</w:t>
            </w:r>
          </w:p>
        </w:tc>
      </w:tr>
      <w:tr>
        <w:tblPrEx>
          <w:tblCellMar>
            <w:top w:w="0" w:type="dxa"/>
            <w:left w:w="108" w:type="dxa"/>
            <w:bottom w:w="0" w:type="dxa"/>
            <w:right w:w="108" w:type="dxa"/>
          </w:tblCellMar>
        </w:tblPrEx>
        <w:trPr>
          <w:trHeight w:val="509" w:hRule="exact"/>
        </w:trPr>
        <w:tc>
          <w:tcPr>
            <w:tcW w:w="2326"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资金到位率</w:t>
            </w:r>
          </w:p>
        </w:tc>
        <w:tc>
          <w:tcPr>
            <w:tcW w:w="239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w:t>
            </w:r>
          </w:p>
        </w:tc>
        <w:tc>
          <w:tcPr>
            <w:tcW w:w="1972"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100%</w:t>
            </w:r>
          </w:p>
        </w:tc>
        <w:tc>
          <w:tcPr>
            <w:tcW w:w="18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w:t>
            </w:r>
          </w:p>
        </w:tc>
      </w:tr>
      <w:tr>
        <w:tblPrEx>
          <w:tblCellMar>
            <w:top w:w="0" w:type="dxa"/>
            <w:left w:w="108" w:type="dxa"/>
            <w:bottom w:w="0" w:type="dxa"/>
            <w:right w:w="108" w:type="dxa"/>
          </w:tblCellMar>
        </w:tblPrEx>
        <w:trPr>
          <w:trHeight w:val="509" w:hRule="exact"/>
        </w:trPr>
        <w:tc>
          <w:tcPr>
            <w:tcW w:w="2326"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资金使用合规性</w:t>
            </w:r>
          </w:p>
        </w:tc>
        <w:tc>
          <w:tcPr>
            <w:tcW w:w="239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w:t>
            </w:r>
          </w:p>
        </w:tc>
        <w:tc>
          <w:tcPr>
            <w:tcW w:w="1972"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100%</w:t>
            </w:r>
          </w:p>
        </w:tc>
        <w:tc>
          <w:tcPr>
            <w:tcW w:w="18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w:t>
            </w:r>
          </w:p>
        </w:tc>
      </w:tr>
      <w:tr>
        <w:tblPrEx>
          <w:tblCellMar>
            <w:top w:w="0" w:type="dxa"/>
            <w:left w:w="108" w:type="dxa"/>
            <w:bottom w:w="0" w:type="dxa"/>
            <w:right w:w="108" w:type="dxa"/>
          </w:tblCellMar>
        </w:tblPrEx>
        <w:trPr>
          <w:trHeight w:val="509" w:hRule="exact"/>
        </w:trPr>
        <w:tc>
          <w:tcPr>
            <w:tcW w:w="2326"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管理制度健全性</w:t>
            </w:r>
          </w:p>
        </w:tc>
        <w:tc>
          <w:tcPr>
            <w:tcW w:w="239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w:t>
            </w:r>
          </w:p>
        </w:tc>
        <w:tc>
          <w:tcPr>
            <w:tcW w:w="1972"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100%</w:t>
            </w:r>
          </w:p>
        </w:tc>
        <w:tc>
          <w:tcPr>
            <w:tcW w:w="18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w:t>
            </w:r>
          </w:p>
        </w:tc>
      </w:tr>
      <w:tr>
        <w:tblPrEx>
          <w:tblCellMar>
            <w:top w:w="0" w:type="dxa"/>
            <w:left w:w="108" w:type="dxa"/>
            <w:bottom w:w="0" w:type="dxa"/>
            <w:right w:w="108" w:type="dxa"/>
          </w:tblCellMar>
        </w:tblPrEx>
        <w:trPr>
          <w:trHeight w:val="509" w:hRule="exact"/>
        </w:trPr>
        <w:tc>
          <w:tcPr>
            <w:tcW w:w="2326"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制度执行有效性</w:t>
            </w:r>
          </w:p>
        </w:tc>
        <w:tc>
          <w:tcPr>
            <w:tcW w:w="239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w:t>
            </w:r>
          </w:p>
        </w:tc>
        <w:tc>
          <w:tcPr>
            <w:tcW w:w="1972"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100%</w:t>
            </w:r>
          </w:p>
        </w:tc>
        <w:tc>
          <w:tcPr>
            <w:tcW w:w="18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w:t>
            </w:r>
          </w:p>
        </w:tc>
      </w:tr>
      <w:tr>
        <w:tblPrEx>
          <w:tblCellMar>
            <w:top w:w="0" w:type="dxa"/>
            <w:left w:w="108" w:type="dxa"/>
            <w:bottom w:w="0" w:type="dxa"/>
            <w:right w:w="108" w:type="dxa"/>
          </w:tblCellMar>
        </w:tblPrEx>
        <w:trPr>
          <w:trHeight w:val="519" w:hRule="exact"/>
        </w:trPr>
        <w:tc>
          <w:tcPr>
            <w:tcW w:w="2326"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合  计</w:t>
            </w:r>
          </w:p>
        </w:tc>
        <w:tc>
          <w:tcPr>
            <w:tcW w:w="239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20</w:t>
            </w:r>
          </w:p>
        </w:tc>
        <w:tc>
          <w:tcPr>
            <w:tcW w:w="1972"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100%</w:t>
            </w:r>
          </w:p>
        </w:tc>
        <w:tc>
          <w:tcPr>
            <w:tcW w:w="188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textAlignment w:val="bottom"/>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20</w:t>
            </w:r>
          </w:p>
        </w:tc>
      </w:tr>
    </w:tbl>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对于“资金到位率”，项目资金到位及时，到位率为100%。根据评分标准，该指标不扣分。</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对于“资金使用合规性”塔城文化中心提升改造项目资金列支的范围使用资金，支出范围合规；资金支出能按财务制度执行，并能按国库集中支付制度规定执行，不存在资金违纪违规使用情况。按评分标准，指标实际得分率100%。</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对于“管理制度健全性”，塔城文化中心提升改造项目机构健全，分工明确，不存在不相容岗位兼任情况。根据评分标准，该指标不扣分。</w:t>
      </w:r>
    </w:p>
    <w:p>
      <w:pPr>
        <w:pageBreakBefore w:val="0"/>
        <w:kinsoku/>
        <w:wordWrap/>
        <w:overflowPunct/>
        <w:topLinePunct w:val="0"/>
        <w:autoSpaceDE/>
        <w:autoSpaceDN/>
        <w:bidi w:val="0"/>
        <w:adjustRightInd/>
        <w:spacing w:line="560" w:lineRule="exact"/>
        <w:ind w:firstLine="640" w:firstLineChars="200"/>
        <w:rPr>
          <w:rFonts w:ascii="仿宋" w:hAnsi="仿宋" w:eastAsia="仿宋" w:cs="仿宋"/>
          <w:sz w:val="32"/>
          <w:szCs w:val="32"/>
        </w:rPr>
      </w:pPr>
      <w:r>
        <w:rPr>
          <w:rFonts w:hint="eastAsia" w:ascii="仿宋_GB2312" w:hAnsi="仿宋" w:eastAsia="仿宋_GB2312" w:cs="仿宋"/>
          <w:sz w:val="32"/>
          <w:szCs w:val="32"/>
        </w:rPr>
        <w:t>对于“制度执行有效性”，塔城文化中心提升改造项目制定了项目资金管理制度，管理制度包括预算、资产、招投标等管理办法；项目建设由地区发改委批复实施内容及规模，塔城地区文化体育广播电视和旅游局遵照实施，项目管理职责完善。</w:t>
      </w:r>
    </w:p>
    <w:p>
      <w:pPr>
        <w:pageBreakBefore w:val="0"/>
        <w:numPr>
          <w:ilvl w:val="0"/>
          <w:numId w:val="2"/>
        </w:numPr>
        <w:kinsoku/>
        <w:wordWrap/>
        <w:overflowPunct/>
        <w:topLinePunct w:val="0"/>
        <w:autoSpaceDE/>
        <w:autoSpaceDN/>
        <w:bidi w:val="0"/>
        <w:adjustRightInd/>
        <w:spacing w:line="560" w:lineRule="exact"/>
        <w:ind w:firstLine="643" w:firstLineChars="200"/>
        <w:contextualSpacing/>
        <w:rPr>
          <w:rFonts w:ascii="楷体" w:hAnsi="楷体" w:eastAsia="楷体" w:cs="楷体"/>
          <w:b/>
          <w:bCs/>
          <w:sz w:val="32"/>
          <w:szCs w:val="32"/>
        </w:rPr>
      </w:pPr>
      <w:r>
        <w:rPr>
          <w:rFonts w:hint="eastAsia" w:ascii="楷体" w:hAnsi="楷体" w:eastAsia="楷体" w:cs="楷体"/>
          <w:b/>
          <w:bCs/>
          <w:sz w:val="32"/>
          <w:szCs w:val="32"/>
        </w:rPr>
        <w:t>项目产出情况。</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项目绩效主要从项目产出的产出数量、产出质量、产出时效、成本情况4个方面对项目的绩效情况进行评价。项目绩效类指标分值40分，实际得分40分，得分率为100%。项目绩效指标得分情况如表所示：</w:t>
      </w:r>
    </w:p>
    <w:tbl>
      <w:tblPr>
        <w:tblStyle w:val="12"/>
        <w:tblW w:w="9036" w:type="dxa"/>
        <w:tblInd w:w="0" w:type="dxa"/>
        <w:tblLayout w:type="fixed"/>
        <w:tblCellMar>
          <w:top w:w="0" w:type="dxa"/>
          <w:left w:w="108" w:type="dxa"/>
          <w:bottom w:w="0" w:type="dxa"/>
          <w:right w:w="108" w:type="dxa"/>
        </w:tblCellMar>
      </w:tblPr>
      <w:tblGrid>
        <w:gridCol w:w="1545"/>
        <w:gridCol w:w="3045"/>
        <w:gridCol w:w="930"/>
        <w:gridCol w:w="1170"/>
        <w:gridCol w:w="2346"/>
      </w:tblGrid>
      <w:tr>
        <w:tblPrEx>
          <w:tblCellMar>
            <w:top w:w="0" w:type="dxa"/>
            <w:left w:w="108" w:type="dxa"/>
            <w:bottom w:w="0" w:type="dxa"/>
            <w:right w:w="108" w:type="dxa"/>
          </w:tblCellMar>
        </w:tblPrEx>
        <w:trPr>
          <w:trHeight w:val="495" w:hRule="atLeast"/>
          <w:tblHeader/>
        </w:trPr>
        <w:tc>
          <w:tcPr>
            <w:tcW w:w="9036" w:type="dxa"/>
            <w:gridSpan w:val="5"/>
            <w:tcBorders>
              <w:top w:val="nil"/>
              <w:left w:val="nil"/>
              <w:bottom w:val="single" w:color="auto" w:sz="4" w:space="0"/>
              <w:right w:val="nil"/>
            </w:tcBorders>
            <w:shd w:val="clear" w:color="auto" w:fill="auto"/>
            <w:vAlign w:val="center"/>
          </w:tcPr>
          <w:p>
            <w:pPr>
              <w:pageBreakBefore w:val="0"/>
              <w:widowControl/>
              <w:kinsoku/>
              <w:wordWrap/>
              <w:overflowPunct/>
              <w:topLinePunct w:val="0"/>
              <w:autoSpaceDE/>
              <w:autoSpaceDN/>
              <w:bidi w:val="0"/>
              <w:adjustRightInd/>
              <w:spacing w:line="560" w:lineRule="exact"/>
              <w:ind w:firstLine="2249" w:firstLineChars="700"/>
              <w:rPr>
                <w:rFonts w:ascii="仿宋_GB2312" w:hAnsi="仿宋_GB2312" w:eastAsia="仿宋_GB2312" w:cs="仿宋_GB2312"/>
                <w:color w:val="000000"/>
                <w:kern w:val="0"/>
                <w:sz w:val="30"/>
                <w:szCs w:val="30"/>
              </w:rPr>
            </w:pPr>
            <w:r>
              <w:rPr>
                <w:rFonts w:hint="eastAsia" w:ascii="仿宋_GB2312" w:hAnsi="仿宋_GB2312" w:eastAsia="仿宋_GB2312" w:cs="仿宋_GB2312"/>
                <w:b/>
                <w:bCs/>
                <w:color w:val="000000"/>
                <w:kern w:val="0"/>
                <w:sz w:val="32"/>
                <w:szCs w:val="32"/>
              </w:rPr>
              <w:t>项目绩效指标得分情况</w:t>
            </w:r>
          </w:p>
        </w:tc>
      </w:tr>
      <w:tr>
        <w:tblPrEx>
          <w:tblCellMar>
            <w:top w:w="0" w:type="dxa"/>
            <w:left w:w="108" w:type="dxa"/>
            <w:bottom w:w="0" w:type="dxa"/>
            <w:right w:w="108" w:type="dxa"/>
          </w:tblCellMar>
        </w:tblPrEx>
        <w:trPr>
          <w:trHeight w:val="510" w:hRule="exact"/>
          <w:tblHeader/>
        </w:trPr>
        <w:tc>
          <w:tcPr>
            <w:tcW w:w="1545" w:type="dxa"/>
            <w:tcBorders>
              <w:top w:val="single" w:color="auto" w:sz="4" w:space="0"/>
              <w:left w:val="single" w:color="auto" w:sz="4" w:space="0"/>
              <w:bottom w:val="single" w:color="auto" w:sz="4" w:space="0"/>
              <w:right w:val="single" w:color="auto" w:sz="4"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三级指标</w:t>
            </w:r>
          </w:p>
        </w:tc>
        <w:tc>
          <w:tcPr>
            <w:tcW w:w="3045" w:type="dxa"/>
            <w:tcBorders>
              <w:top w:val="single" w:color="auto" w:sz="4" w:space="0"/>
              <w:left w:val="single" w:color="auto" w:sz="4" w:space="0"/>
              <w:bottom w:val="single" w:color="auto" w:sz="4" w:space="0"/>
              <w:right w:val="single" w:color="auto" w:sz="4"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三级明细指标</w:t>
            </w:r>
          </w:p>
        </w:tc>
        <w:tc>
          <w:tcPr>
            <w:tcW w:w="930" w:type="dxa"/>
            <w:tcBorders>
              <w:top w:val="single" w:color="auto" w:sz="4" w:space="0"/>
              <w:left w:val="single" w:color="auto" w:sz="4" w:space="0"/>
              <w:bottom w:val="single" w:color="auto" w:sz="4" w:space="0"/>
              <w:right w:val="single" w:color="auto" w:sz="4"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权重</w:t>
            </w:r>
          </w:p>
        </w:tc>
        <w:tc>
          <w:tcPr>
            <w:tcW w:w="1170" w:type="dxa"/>
            <w:tcBorders>
              <w:top w:val="single" w:color="auto" w:sz="4" w:space="0"/>
              <w:left w:val="single" w:color="auto" w:sz="4" w:space="0"/>
              <w:bottom w:val="single" w:color="auto" w:sz="4" w:space="0"/>
              <w:right w:val="single" w:color="auto" w:sz="4"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得分率</w:t>
            </w:r>
          </w:p>
        </w:tc>
        <w:tc>
          <w:tcPr>
            <w:tcW w:w="2346" w:type="dxa"/>
            <w:tcBorders>
              <w:top w:val="single" w:color="auto" w:sz="4" w:space="0"/>
              <w:left w:val="single" w:color="auto" w:sz="4" w:space="0"/>
              <w:bottom w:val="single" w:color="auto" w:sz="4" w:space="0"/>
              <w:right w:val="single" w:color="auto" w:sz="4"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实际得分</w:t>
            </w:r>
          </w:p>
        </w:tc>
      </w:tr>
      <w:tr>
        <w:tblPrEx>
          <w:tblCellMar>
            <w:top w:w="0" w:type="dxa"/>
            <w:left w:w="108" w:type="dxa"/>
            <w:bottom w:w="0" w:type="dxa"/>
            <w:right w:w="108" w:type="dxa"/>
          </w:tblCellMar>
        </w:tblPrEx>
        <w:trPr>
          <w:trHeight w:val="720" w:hRule="atLeast"/>
        </w:trPr>
        <w:tc>
          <w:tcPr>
            <w:tcW w:w="1545" w:type="dxa"/>
            <w:tcBorders>
              <w:top w:val="single" w:color="auto" w:sz="4" w:space="0"/>
              <w:left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产出数量</w:t>
            </w:r>
          </w:p>
        </w:tc>
        <w:tc>
          <w:tcPr>
            <w:tcW w:w="3045" w:type="dxa"/>
            <w:tcBorders>
              <w:top w:val="single" w:color="auto" w:sz="4" w:space="0"/>
              <w:left w:val="nil"/>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塔城地区文化中心提升改造展厅（个）</w:t>
            </w:r>
          </w:p>
        </w:tc>
        <w:tc>
          <w:tcPr>
            <w:tcW w:w="9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10</w:t>
            </w:r>
          </w:p>
        </w:tc>
        <w:tc>
          <w:tcPr>
            <w:tcW w:w="1170" w:type="dxa"/>
            <w:tcBorders>
              <w:top w:val="single" w:color="auto" w:sz="4" w:space="0"/>
              <w:left w:val="nil"/>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100%</w:t>
            </w:r>
          </w:p>
        </w:tc>
        <w:tc>
          <w:tcPr>
            <w:tcW w:w="2346" w:type="dxa"/>
            <w:tcBorders>
              <w:top w:val="single" w:color="auto" w:sz="4" w:space="0"/>
              <w:left w:val="nil"/>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10</w:t>
            </w:r>
          </w:p>
        </w:tc>
      </w:tr>
      <w:tr>
        <w:tblPrEx>
          <w:tblCellMar>
            <w:top w:w="0" w:type="dxa"/>
            <w:left w:w="108" w:type="dxa"/>
            <w:bottom w:w="0" w:type="dxa"/>
            <w:right w:w="108" w:type="dxa"/>
          </w:tblCellMar>
        </w:tblPrEx>
        <w:trPr>
          <w:trHeight w:val="510" w:hRule="exact"/>
        </w:trPr>
        <w:tc>
          <w:tcPr>
            <w:tcW w:w="154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产出质量</w:t>
            </w:r>
          </w:p>
        </w:tc>
        <w:tc>
          <w:tcPr>
            <w:tcW w:w="3045" w:type="dxa"/>
            <w:tcBorders>
              <w:top w:val="single" w:color="auto" w:sz="4" w:space="0"/>
              <w:left w:val="nil"/>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工程完工率</w:t>
            </w:r>
          </w:p>
        </w:tc>
        <w:tc>
          <w:tcPr>
            <w:tcW w:w="930" w:type="dxa"/>
            <w:tcBorders>
              <w:top w:val="single" w:color="auto" w:sz="4" w:space="0"/>
              <w:left w:val="nil"/>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10</w:t>
            </w:r>
          </w:p>
        </w:tc>
        <w:tc>
          <w:tcPr>
            <w:tcW w:w="1170" w:type="dxa"/>
            <w:tcBorders>
              <w:top w:val="single" w:color="auto" w:sz="4" w:space="0"/>
              <w:left w:val="nil"/>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100%</w:t>
            </w:r>
          </w:p>
        </w:tc>
        <w:tc>
          <w:tcPr>
            <w:tcW w:w="2346" w:type="dxa"/>
            <w:tcBorders>
              <w:top w:val="single" w:color="auto" w:sz="4" w:space="0"/>
              <w:left w:val="nil"/>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10</w:t>
            </w:r>
          </w:p>
        </w:tc>
      </w:tr>
      <w:tr>
        <w:tblPrEx>
          <w:tblCellMar>
            <w:top w:w="0" w:type="dxa"/>
            <w:left w:w="108" w:type="dxa"/>
            <w:bottom w:w="0" w:type="dxa"/>
            <w:right w:w="108" w:type="dxa"/>
          </w:tblCellMar>
        </w:tblPrEx>
        <w:trPr>
          <w:trHeight w:val="510" w:hRule="exact"/>
        </w:trPr>
        <w:tc>
          <w:tcPr>
            <w:tcW w:w="154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产出时效</w:t>
            </w:r>
          </w:p>
        </w:tc>
        <w:tc>
          <w:tcPr>
            <w:tcW w:w="3045" w:type="dxa"/>
            <w:tcBorders>
              <w:top w:val="single" w:color="auto" w:sz="4" w:space="0"/>
              <w:left w:val="nil"/>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资金拨付及时率</w:t>
            </w:r>
          </w:p>
        </w:tc>
        <w:tc>
          <w:tcPr>
            <w:tcW w:w="930" w:type="dxa"/>
            <w:tcBorders>
              <w:top w:val="single" w:color="auto" w:sz="4" w:space="0"/>
              <w:left w:val="nil"/>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10</w:t>
            </w:r>
          </w:p>
        </w:tc>
        <w:tc>
          <w:tcPr>
            <w:tcW w:w="1170" w:type="dxa"/>
            <w:tcBorders>
              <w:top w:val="single" w:color="auto" w:sz="4" w:space="0"/>
              <w:left w:val="nil"/>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100%</w:t>
            </w:r>
          </w:p>
        </w:tc>
        <w:tc>
          <w:tcPr>
            <w:tcW w:w="2346" w:type="dxa"/>
            <w:tcBorders>
              <w:top w:val="single" w:color="auto" w:sz="4" w:space="0"/>
              <w:left w:val="nil"/>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10</w:t>
            </w:r>
          </w:p>
        </w:tc>
      </w:tr>
      <w:tr>
        <w:tblPrEx>
          <w:tblCellMar>
            <w:top w:w="0" w:type="dxa"/>
            <w:left w:w="108" w:type="dxa"/>
            <w:bottom w:w="0" w:type="dxa"/>
            <w:right w:w="108" w:type="dxa"/>
          </w:tblCellMar>
        </w:tblPrEx>
        <w:trPr>
          <w:trHeight w:val="510" w:hRule="exact"/>
        </w:trPr>
        <w:tc>
          <w:tcPr>
            <w:tcW w:w="154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成本情况</w:t>
            </w:r>
          </w:p>
        </w:tc>
        <w:tc>
          <w:tcPr>
            <w:tcW w:w="3045" w:type="dxa"/>
            <w:tcBorders>
              <w:top w:val="single" w:color="auto" w:sz="4" w:space="0"/>
              <w:left w:val="nil"/>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项目支出成本</w:t>
            </w:r>
          </w:p>
        </w:tc>
        <w:tc>
          <w:tcPr>
            <w:tcW w:w="930" w:type="dxa"/>
            <w:tcBorders>
              <w:top w:val="single" w:color="auto" w:sz="4" w:space="0"/>
              <w:left w:val="nil"/>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10</w:t>
            </w:r>
          </w:p>
        </w:tc>
        <w:tc>
          <w:tcPr>
            <w:tcW w:w="1170" w:type="dxa"/>
            <w:tcBorders>
              <w:top w:val="single" w:color="auto" w:sz="4" w:space="0"/>
              <w:left w:val="nil"/>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100%</w:t>
            </w:r>
          </w:p>
        </w:tc>
        <w:tc>
          <w:tcPr>
            <w:tcW w:w="2346" w:type="dxa"/>
            <w:tcBorders>
              <w:top w:val="single" w:color="auto" w:sz="4" w:space="0"/>
              <w:left w:val="nil"/>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10</w:t>
            </w:r>
          </w:p>
        </w:tc>
      </w:tr>
      <w:tr>
        <w:tblPrEx>
          <w:tblCellMar>
            <w:top w:w="0" w:type="dxa"/>
            <w:left w:w="108" w:type="dxa"/>
            <w:bottom w:w="0" w:type="dxa"/>
            <w:right w:w="108" w:type="dxa"/>
          </w:tblCellMar>
        </w:tblPrEx>
        <w:trPr>
          <w:trHeight w:val="510" w:hRule="exact"/>
        </w:trPr>
        <w:tc>
          <w:tcPr>
            <w:tcW w:w="154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合  计</w:t>
            </w:r>
          </w:p>
        </w:tc>
        <w:tc>
          <w:tcPr>
            <w:tcW w:w="3045" w:type="dxa"/>
            <w:tcBorders>
              <w:top w:val="single" w:color="auto" w:sz="4" w:space="0"/>
              <w:left w:val="nil"/>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ind w:firstLine="640" w:firstLineChars="200"/>
              <w:jc w:val="center"/>
              <w:rPr>
                <w:rFonts w:hint="eastAsia" w:ascii="仿宋_GB2312" w:hAnsi="仿宋_GB2312" w:eastAsia="仿宋_GB2312" w:cs="仿宋_GB2312"/>
                <w:b w:val="0"/>
                <w:bCs w:val="0"/>
              </w:rPr>
            </w:pPr>
          </w:p>
        </w:tc>
        <w:tc>
          <w:tcPr>
            <w:tcW w:w="930" w:type="dxa"/>
            <w:tcBorders>
              <w:top w:val="single" w:color="auto" w:sz="4" w:space="0"/>
              <w:left w:val="nil"/>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40</w:t>
            </w:r>
          </w:p>
        </w:tc>
        <w:tc>
          <w:tcPr>
            <w:tcW w:w="1170" w:type="dxa"/>
            <w:tcBorders>
              <w:top w:val="single" w:color="auto" w:sz="4" w:space="0"/>
              <w:left w:val="nil"/>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100%</w:t>
            </w:r>
          </w:p>
        </w:tc>
        <w:tc>
          <w:tcPr>
            <w:tcW w:w="2346" w:type="dxa"/>
            <w:tcBorders>
              <w:top w:val="single" w:color="auto" w:sz="4" w:space="0"/>
              <w:left w:val="nil"/>
              <w:bottom w:val="single" w:color="auto" w:sz="4" w:space="0"/>
              <w:right w:val="single" w:color="auto" w:sz="4" w:space="0"/>
            </w:tcBorders>
            <w:shd w:val="clear" w:color="auto" w:fill="auto"/>
            <w:vAlign w:val="center"/>
          </w:tcPr>
          <w:p>
            <w:pPr>
              <w:pStyle w:val="3"/>
              <w:pageBreakBefore w:val="0"/>
              <w:kinsoku/>
              <w:wordWrap/>
              <w:overflowPunct/>
              <w:topLinePunct w:val="0"/>
              <w:autoSpaceDE/>
              <w:autoSpaceDN/>
              <w:bidi w:val="0"/>
              <w:adjustRightInd/>
              <w:spacing w:before="0" w:after="0" w:line="560" w:lineRule="exact"/>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40</w:t>
            </w:r>
          </w:p>
        </w:tc>
      </w:tr>
    </w:tbl>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对于“产出数量”，塔城地区文化中心提升改造厅（个）预期指标值4个，指标完成值4个，指标完成率100%；</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对于“产出质量”，工程完工率，预期指标值100%，指标完成值100%，指标完成率100%；</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对于“产出时效”，资金拨付及时率，预期指标值100%，指标完成值100%，指标完成率100%；</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对于“成本情况”，按照工程发票据实支付，预期指标值≤1000万元，指标完成值1000万元，指标完成率100%；</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塔城地区文体广旅局各项项目均已完成，塔城文化中心提升改造项目已投入使用。</w:t>
      </w:r>
    </w:p>
    <w:p>
      <w:pPr>
        <w:pageBreakBefore w:val="0"/>
        <w:kinsoku/>
        <w:wordWrap/>
        <w:overflowPunct/>
        <w:topLinePunct w:val="0"/>
        <w:autoSpaceDE/>
        <w:autoSpaceDN/>
        <w:bidi w:val="0"/>
        <w:adjustRightInd/>
        <w:spacing w:line="560" w:lineRule="exact"/>
        <w:ind w:firstLine="643" w:firstLineChars="200"/>
        <w:rPr>
          <w:rFonts w:hint="eastAsia" w:ascii="仿宋_GB2312" w:hAnsi="仿宋" w:eastAsia="仿宋_GB2312" w:cs="仿宋"/>
          <w:b/>
          <w:bCs/>
          <w:sz w:val="32"/>
          <w:szCs w:val="32"/>
        </w:rPr>
      </w:pPr>
      <w:r>
        <w:rPr>
          <w:rFonts w:hint="eastAsia" w:ascii="仿宋_GB2312" w:hAnsi="仿宋" w:eastAsia="仿宋_GB2312" w:cs="仿宋"/>
          <w:b/>
          <w:bCs/>
          <w:sz w:val="32"/>
          <w:szCs w:val="32"/>
        </w:rPr>
        <w:t>（四）项目效益情况。</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项目绩效主要从项目的社会效益、可持续影响指标、服务对象满意度3个方面对项目的绩效情况进行评价。项目绩效类指标分值20分，实际得分</w:t>
      </w:r>
      <w:r>
        <w:rPr>
          <w:rFonts w:hint="eastAsia" w:ascii="仿宋_GB2312" w:hAnsi="仿宋" w:eastAsia="仿宋_GB2312" w:cs="仿宋"/>
          <w:sz w:val="32"/>
          <w:szCs w:val="32"/>
          <w:lang w:val="en-US" w:eastAsia="zh-CN"/>
        </w:rPr>
        <w:t>20</w:t>
      </w:r>
      <w:r>
        <w:rPr>
          <w:rFonts w:hint="eastAsia" w:ascii="仿宋_GB2312" w:hAnsi="仿宋" w:eastAsia="仿宋_GB2312" w:cs="仿宋"/>
          <w:sz w:val="32"/>
          <w:szCs w:val="32"/>
        </w:rPr>
        <w:t>分，得分率为</w:t>
      </w:r>
      <w:r>
        <w:rPr>
          <w:rFonts w:hint="eastAsia" w:ascii="仿宋_GB2312" w:hAnsi="仿宋" w:eastAsia="仿宋_GB2312" w:cs="仿宋"/>
          <w:sz w:val="32"/>
          <w:szCs w:val="32"/>
          <w:lang w:val="en-US" w:eastAsia="zh-CN"/>
        </w:rPr>
        <w:t>100</w:t>
      </w:r>
      <w:r>
        <w:rPr>
          <w:rFonts w:hint="eastAsia" w:ascii="仿宋_GB2312" w:hAnsi="仿宋" w:eastAsia="仿宋_GB2312" w:cs="仿宋"/>
          <w:sz w:val="32"/>
          <w:szCs w:val="32"/>
        </w:rPr>
        <w:t>%。项目绩效指标得分情况如表所示：</w:t>
      </w:r>
    </w:p>
    <w:tbl>
      <w:tblPr>
        <w:tblStyle w:val="12"/>
        <w:tblW w:w="8628" w:type="dxa"/>
        <w:tblInd w:w="0" w:type="dxa"/>
        <w:tblLayout w:type="fixed"/>
        <w:tblCellMar>
          <w:top w:w="0" w:type="dxa"/>
          <w:left w:w="108" w:type="dxa"/>
          <w:bottom w:w="0" w:type="dxa"/>
          <w:right w:w="108" w:type="dxa"/>
        </w:tblCellMar>
      </w:tblPr>
      <w:tblGrid>
        <w:gridCol w:w="1905"/>
        <w:gridCol w:w="3000"/>
        <w:gridCol w:w="885"/>
        <w:gridCol w:w="1335"/>
        <w:gridCol w:w="1503"/>
      </w:tblGrid>
      <w:tr>
        <w:tblPrEx>
          <w:tblCellMar>
            <w:top w:w="0" w:type="dxa"/>
            <w:left w:w="108" w:type="dxa"/>
            <w:bottom w:w="0" w:type="dxa"/>
            <w:right w:w="108" w:type="dxa"/>
          </w:tblCellMar>
        </w:tblPrEx>
        <w:trPr>
          <w:trHeight w:val="413" w:hRule="atLeast"/>
          <w:tblHeader/>
        </w:trPr>
        <w:tc>
          <w:tcPr>
            <w:tcW w:w="8628" w:type="dxa"/>
            <w:gridSpan w:val="5"/>
            <w:tcBorders>
              <w:top w:val="nil"/>
              <w:left w:val="nil"/>
              <w:bottom w:val="single" w:color="auto" w:sz="8" w:space="0"/>
              <w:right w:val="nil"/>
            </w:tcBorders>
            <w:shd w:val="clear" w:color="auto" w:fill="auto"/>
            <w:vAlign w:val="center"/>
          </w:tcPr>
          <w:p>
            <w:pPr>
              <w:pageBreakBefore w:val="0"/>
              <w:widowControl/>
              <w:kinsoku/>
              <w:wordWrap/>
              <w:overflowPunct/>
              <w:topLinePunct w:val="0"/>
              <w:autoSpaceDE/>
              <w:autoSpaceDN/>
              <w:bidi w:val="0"/>
              <w:adjustRightInd/>
              <w:spacing w:line="560" w:lineRule="exact"/>
              <w:ind w:firstLine="2249" w:firstLineChars="700"/>
              <w:rPr>
                <w:rFonts w:ascii="仿宋_GB2312" w:hAnsi="仿宋_GB2312" w:eastAsia="仿宋_GB2312" w:cs="仿宋_GB2312"/>
                <w:b/>
                <w:color w:val="000000"/>
                <w:kern w:val="0"/>
                <w:sz w:val="30"/>
                <w:szCs w:val="30"/>
                <w:highlight w:val="none"/>
              </w:rPr>
            </w:pPr>
            <w:r>
              <w:rPr>
                <w:rFonts w:hint="eastAsia" w:ascii="仿宋_GB2312" w:hAnsi="仿宋_GB2312" w:eastAsia="仿宋_GB2312" w:cs="仿宋_GB2312"/>
                <w:b/>
                <w:sz w:val="32"/>
                <w:szCs w:val="32"/>
                <w:highlight w:val="none"/>
              </w:rPr>
              <w:t>项目绩效指标得分情况</w:t>
            </w:r>
          </w:p>
        </w:tc>
      </w:tr>
      <w:tr>
        <w:tblPrEx>
          <w:tblCellMar>
            <w:top w:w="0" w:type="dxa"/>
            <w:left w:w="108" w:type="dxa"/>
            <w:bottom w:w="0" w:type="dxa"/>
            <w:right w:w="108" w:type="dxa"/>
          </w:tblCellMar>
        </w:tblPrEx>
        <w:trPr>
          <w:trHeight w:val="545" w:hRule="exact"/>
          <w:tblHeader/>
        </w:trPr>
        <w:tc>
          <w:tcPr>
            <w:tcW w:w="1905" w:type="dxa"/>
            <w:tcBorders>
              <w:top w:val="nil"/>
              <w:left w:val="single" w:color="auto" w:sz="8" w:space="0"/>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b/>
                <w:bCs/>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b/>
                <w:bCs/>
                <w:color w:val="000000" w:themeColor="text1"/>
                <w:kern w:val="0"/>
                <w:sz w:val="30"/>
                <w:szCs w:val="30"/>
                <w:highlight w:val="none"/>
                <w14:textFill>
                  <w14:solidFill>
                    <w14:schemeClr w14:val="tx1"/>
                  </w14:solidFill>
                </w14:textFill>
              </w:rPr>
              <w:t>三级指标</w:t>
            </w:r>
          </w:p>
        </w:tc>
        <w:tc>
          <w:tcPr>
            <w:tcW w:w="3000"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b/>
                <w:bCs/>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b/>
                <w:bCs/>
                <w:color w:val="000000" w:themeColor="text1"/>
                <w:kern w:val="0"/>
                <w:sz w:val="30"/>
                <w:szCs w:val="30"/>
                <w:highlight w:val="none"/>
                <w14:textFill>
                  <w14:solidFill>
                    <w14:schemeClr w14:val="tx1"/>
                  </w14:solidFill>
                </w14:textFill>
              </w:rPr>
              <w:t>三级明细指标</w:t>
            </w:r>
          </w:p>
        </w:tc>
        <w:tc>
          <w:tcPr>
            <w:tcW w:w="885"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b/>
                <w:bCs/>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b/>
                <w:bCs/>
                <w:color w:val="000000" w:themeColor="text1"/>
                <w:kern w:val="0"/>
                <w:sz w:val="30"/>
                <w:szCs w:val="30"/>
                <w:highlight w:val="none"/>
                <w14:textFill>
                  <w14:solidFill>
                    <w14:schemeClr w14:val="tx1"/>
                  </w14:solidFill>
                </w14:textFill>
              </w:rPr>
              <w:t>权重</w:t>
            </w:r>
          </w:p>
        </w:tc>
        <w:tc>
          <w:tcPr>
            <w:tcW w:w="1335"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b/>
                <w:bCs/>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b/>
                <w:bCs/>
                <w:color w:val="000000" w:themeColor="text1"/>
                <w:kern w:val="0"/>
                <w:sz w:val="30"/>
                <w:szCs w:val="30"/>
                <w:highlight w:val="none"/>
                <w14:textFill>
                  <w14:solidFill>
                    <w14:schemeClr w14:val="tx1"/>
                  </w14:solidFill>
                </w14:textFill>
              </w:rPr>
              <w:t>得分率</w:t>
            </w:r>
          </w:p>
        </w:tc>
        <w:tc>
          <w:tcPr>
            <w:tcW w:w="1503"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b/>
                <w:bCs/>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b/>
                <w:bCs/>
                <w:color w:val="000000" w:themeColor="text1"/>
                <w:kern w:val="0"/>
                <w:sz w:val="30"/>
                <w:szCs w:val="30"/>
                <w:highlight w:val="none"/>
                <w14:textFill>
                  <w14:solidFill>
                    <w14:schemeClr w14:val="tx1"/>
                  </w14:solidFill>
                </w14:textFill>
              </w:rPr>
              <w:t>实际得分</w:t>
            </w:r>
          </w:p>
        </w:tc>
      </w:tr>
      <w:tr>
        <w:tblPrEx>
          <w:tblCellMar>
            <w:top w:w="0" w:type="dxa"/>
            <w:left w:w="108" w:type="dxa"/>
            <w:bottom w:w="0" w:type="dxa"/>
            <w:right w:w="108" w:type="dxa"/>
          </w:tblCellMar>
        </w:tblPrEx>
        <w:trPr>
          <w:trHeight w:val="1056" w:hRule="exact"/>
        </w:trPr>
        <w:tc>
          <w:tcPr>
            <w:tcW w:w="1905" w:type="dxa"/>
            <w:vMerge w:val="restart"/>
            <w:tcBorders>
              <w:top w:val="nil"/>
              <w:left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社会效益</w:t>
            </w:r>
          </w:p>
        </w:tc>
        <w:tc>
          <w:tcPr>
            <w:tcW w:w="3000"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保障文化中心楼内开展活动所需功能用房正常运行动所需功能用房正常运行动所需功能</w:t>
            </w:r>
          </w:p>
        </w:tc>
        <w:tc>
          <w:tcPr>
            <w:tcW w:w="885"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8</w:t>
            </w:r>
          </w:p>
        </w:tc>
        <w:tc>
          <w:tcPr>
            <w:tcW w:w="1335"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100</w:t>
            </w:r>
            <w:r>
              <w:rPr>
                <w:rFonts w:hint="eastAsia" w:ascii="仿宋_GB2312" w:hAnsi="仿宋_GB2312" w:eastAsia="仿宋_GB2312" w:cs="仿宋_GB2312"/>
                <w:color w:val="000000"/>
                <w:kern w:val="0"/>
                <w:sz w:val="32"/>
                <w:szCs w:val="32"/>
                <w:highlight w:val="none"/>
              </w:rPr>
              <w:t>%</w:t>
            </w:r>
          </w:p>
        </w:tc>
        <w:tc>
          <w:tcPr>
            <w:tcW w:w="1503"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8</w:t>
            </w:r>
          </w:p>
        </w:tc>
      </w:tr>
      <w:tr>
        <w:tblPrEx>
          <w:tblCellMar>
            <w:top w:w="0" w:type="dxa"/>
            <w:left w:w="108" w:type="dxa"/>
            <w:bottom w:w="0" w:type="dxa"/>
            <w:right w:w="108" w:type="dxa"/>
          </w:tblCellMar>
        </w:tblPrEx>
        <w:trPr>
          <w:trHeight w:val="1104" w:hRule="exact"/>
        </w:trPr>
        <w:tc>
          <w:tcPr>
            <w:tcW w:w="1905" w:type="dxa"/>
            <w:vMerge w:val="continue"/>
            <w:tcBorders>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32"/>
                <w:szCs w:val="32"/>
                <w:highlight w:val="none"/>
              </w:rPr>
            </w:pPr>
          </w:p>
        </w:tc>
        <w:tc>
          <w:tcPr>
            <w:tcW w:w="3000"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持续满足群众对精神文化的需求</w:t>
            </w:r>
          </w:p>
        </w:tc>
        <w:tc>
          <w:tcPr>
            <w:tcW w:w="885"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7</w:t>
            </w:r>
          </w:p>
        </w:tc>
        <w:tc>
          <w:tcPr>
            <w:tcW w:w="1335"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100</w:t>
            </w:r>
            <w:r>
              <w:rPr>
                <w:rFonts w:hint="eastAsia" w:ascii="仿宋_GB2312" w:hAnsi="仿宋_GB2312" w:eastAsia="仿宋_GB2312" w:cs="仿宋_GB2312"/>
                <w:color w:val="000000"/>
                <w:kern w:val="0"/>
                <w:sz w:val="32"/>
                <w:szCs w:val="32"/>
                <w:highlight w:val="none"/>
              </w:rPr>
              <w:t>%</w:t>
            </w:r>
          </w:p>
        </w:tc>
        <w:tc>
          <w:tcPr>
            <w:tcW w:w="1503"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7</w:t>
            </w:r>
          </w:p>
        </w:tc>
      </w:tr>
      <w:tr>
        <w:tblPrEx>
          <w:tblCellMar>
            <w:top w:w="0" w:type="dxa"/>
            <w:left w:w="108" w:type="dxa"/>
            <w:bottom w:w="0" w:type="dxa"/>
            <w:right w:w="108" w:type="dxa"/>
          </w:tblCellMar>
        </w:tblPrEx>
        <w:trPr>
          <w:trHeight w:val="1236" w:hRule="exact"/>
        </w:trPr>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服务对象满意度</w:t>
            </w:r>
          </w:p>
        </w:tc>
        <w:tc>
          <w:tcPr>
            <w:tcW w:w="3000"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塔城市民对设施建设满意率</w:t>
            </w:r>
          </w:p>
        </w:tc>
        <w:tc>
          <w:tcPr>
            <w:tcW w:w="885"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5</w:t>
            </w:r>
          </w:p>
        </w:tc>
        <w:tc>
          <w:tcPr>
            <w:tcW w:w="1335"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1503"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5</w:t>
            </w:r>
          </w:p>
        </w:tc>
      </w:tr>
      <w:tr>
        <w:tblPrEx>
          <w:tblCellMar>
            <w:top w:w="0" w:type="dxa"/>
            <w:left w:w="108" w:type="dxa"/>
            <w:bottom w:w="0" w:type="dxa"/>
            <w:right w:w="108" w:type="dxa"/>
          </w:tblCellMar>
        </w:tblPrEx>
        <w:trPr>
          <w:trHeight w:val="595" w:hRule="exact"/>
        </w:trPr>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合  计</w:t>
            </w:r>
          </w:p>
        </w:tc>
        <w:tc>
          <w:tcPr>
            <w:tcW w:w="3000"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32"/>
                <w:szCs w:val="32"/>
                <w:highlight w:val="none"/>
              </w:rPr>
            </w:pPr>
          </w:p>
        </w:tc>
        <w:tc>
          <w:tcPr>
            <w:tcW w:w="885"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20</w:t>
            </w:r>
          </w:p>
        </w:tc>
        <w:tc>
          <w:tcPr>
            <w:tcW w:w="1335"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100</w:t>
            </w:r>
            <w:r>
              <w:rPr>
                <w:rFonts w:hint="eastAsia" w:ascii="仿宋_GB2312" w:hAnsi="仿宋_GB2312" w:eastAsia="仿宋_GB2312" w:cs="仿宋_GB2312"/>
                <w:color w:val="000000"/>
                <w:kern w:val="0"/>
                <w:sz w:val="32"/>
                <w:szCs w:val="32"/>
                <w:highlight w:val="none"/>
              </w:rPr>
              <w:t>%</w:t>
            </w:r>
          </w:p>
        </w:tc>
        <w:tc>
          <w:tcPr>
            <w:tcW w:w="1503"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20</w:t>
            </w:r>
          </w:p>
        </w:tc>
      </w:tr>
    </w:tbl>
    <w:p>
      <w:pPr>
        <w:pageBreakBefore w:val="0"/>
        <w:kinsoku/>
        <w:wordWrap/>
        <w:overflowPunct/>
        <w:topLinePunct w:val="0"/>
        <w:autoSpaceDE/>
        <w:autoSpaceDN/>
        <w:bidi w:val="0"/>
        <w:adjustRightInd/>
        <w:spacing w:line="560" w:lineRule="exact"/>
        <w:ind w:firstLine="640" w:firstLineChars="200"/>
        <w:rPr>
          <w:rFonts w:hint="eastAsia" w:ascii="仿宋_GB2312" w:hAnsi="仿宋" w:eastAsia="仿宋_GB2312" w:cs="仿宋"/>
          <w:sz w:val="32"/>
          <w:szCs w:val="32"/>
          <w:lang w:eastAsia="zh-CN"/>
        </w:rPr>
      </w:pPr>
      <w:r>
        <w:rPr>
          <w:rFonts w:hint="eastAsia" w:ascii="仿宋_GB2312" w:hAnsi="仿宋" w:eastAsia="仿宋_GB2312" w:cs="仿宋"/>
          <w:sz w:val="32"/>
          <w:szCs w:val="32"/>
        </w:rPr>
        <w:t>项目实施的社会效益分析</w:t>
      </w:r>
      <w:r>
        <w:rPr>
          <w:rFonts w:hint="eastAsia" w:ascii="仿宋_GB2312" w:hAnsi="仿宋" w:eastAsia="仿宋_GB2312" w:cs="仿宋"/>
          <w:sz w:val="32"/>
          <w:szCs w:val="32"/>
          <w:lang w:eastAsia="zh-CN"/>
        </w:rPr>
        <w:t>：</w:t>
      </w:r>
    </w:p>
    <w:p>
      <w:pPr>
        <w:pageBreakBefore w:val="0"/>
        <w:kinsoku/>
        <w:wordWrap/>
        <w:overflowPunct/>
        <w:topLinePunct w:val="0"/>
        <w:autoSpaceDE/>
        <w:autoSpaceDN/>
        <w:bidi w:val="0"/>
        <w:adjustRightInd/>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对于“社会效益指标”，保障文化中心楼内开展活动所需功能用房正常进行，预期指标值显著保障，根据评分标准，该指标实际得分</w:t>
      </w:r>
      <w:r>
        <w:rPr>
          <w:rFonts w:hint="eastAsia" w:ascii="仿宋_GB2312" w:hAnsi="仿宋" w:eastAsia="仿宋_GB2312" w:cs="仿宋"/>
          <w:sz w:val="32"/>
          <w:szCs w:val="32"/>
          <w:lang w:val="en-US" w:eastAsia="zh-CN"/>
        </w:rPr>
        <w:t>8</w:t>
      </w:r>
      <w:r>
        <w:rPr>
          <w:rFonts w:hint="eastAsia" w:ascii="仿宋_GB2312" w:hAnsi="仿宋" w:eastAsia="仿宋_GB2312" w:cs="仿宋"/>
          <w:sz w:val="32"/>
          <w:szCs w:val="32"/>
        </w:rPr>
        <w:t>分。</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塔城地区文体广旅局各类项目开展提升了塔城公共文化服务能力，使更多优秀文化作品能够惠及群众，丰富群众的文化生活，不断扩大受服务群众比例，不断增强塔城文化社会影响力。</w:t>
      </w:r>
    </w:p>
    <w:p>
      <w:pPr>
        <w:pageBreakBefore w:val="0"/>
        <w:kinsoku/>
        <w:wordWrap/>
        <w:overflowPunct/>
        <w:topLinePunct w:val="0"/>
        <w:autoSpaceDE/>
        <w:autoSpaceDN/>
        <w:bidi w:val="0"/>
        <w:adjustRightInd/>
        <w:spacing w:line="560" w:lineRule="exact"/>
        <w:ind w:firstLine="640" w:firstLineChars="200"/>
        <w:rPr>
          <w:rFonts w:hint="eastAsia" w:ascii="仿宋_GB2312" w:hAnsi="仿宋" w:eastAsia="仿宋_GB2312" w:cs="仿宋"/>
          <w:sz w:val="32"/>
          <w:szCs w:val="32"/>
          <w:lang w:eastAsia="zh-CN"/>
        </w:rPr>
      </w:pPr>
      <w:r>
        <w:rPr>
          <w:rFonts w:hint="eastAsia" w:ascii="仿宋_GB2312" w:hAnsi="仿宋" w:eastAsia="仿宋_GB2312" w:cs="仿宋"/>
          <w:sz w:val="32"/>
          <w:szCs w:val="32"/>
        </w:rPr>
        <w:t>项目实施的可持续影响分析</w:t>
      </w:r>
      <w:r>
        <w:rPr>
          <w:rFonts w:hint="eastAsia" w:ascii="仿宋_GB2312" w:hAnsi="仿宋" w:eastAsia="仿宋_GB2312" w:cs="仿宋"/>
          <w:sz w:val="32"/>
          <w:szCs w:val="32"/>
          <w:lang w:eastAsia="zh-CN"/>
        </w:rPr>
        <w:t>：</w:t>
      </w:r>
    </w:p>
    <w:p>
      <w:pPr>
        <w:pageBreakBefore w:val="0"/>
        <w:kinsoku/>
        <w:wordWrap/>
        <w:overflowPunct/>
        <w:topLinePunct w:val="0"/>
        <w:autoSpaceDE/>
        <w:autoSpaceDN/>
        <w:bidi w:val="0"/>
        <w:adjustRightInd/>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 xml:space="preserve"> 对于“可持续影响指标”，持续满足群众对精神文化的需求，预期指标值持续满足，根据评分标准，实际得分</w:t>
      </w:r>
      <w:r>
        <w:rPr>
          <w:rFonts w:hint="eastAsia" w:ascii="仿宋_GB2312" w:hAnsi="仿宋" w:eastAsia="仿宋_GB2312" w:cs="仿宋"/>
          <w:sz w:val="32"/>
          <w:szCs w:val="32"/>
          <w:lang w:val="en-US" w:eastAsia="zh-CN"/>
        </w:rPr>
        <w:t>7</w:t>
      </w:r>
      <w:r>
        <w:rPr>
          <w:rFonts w:hint="eastAsia" w:ascii="仿宋_GB2312" w:hAnsi="仿宋" w:eastAsia="仿宋_GB2312" w:cs="仿宋"/>
          <w:sz w:val="32"/>
          <w:szCs w:val="32"/>
        </w:rPr>
        <w:t>分。</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提高城市的知名度和美誉度，提升城市的竞争力和影响力，为塔城市再造一张“金名片”。</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满意度指标完成情况分析</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对于“服务对象满意度指标”，塔城市民对设施建设满意率，预期指标值≥95%，指标完成值95%，指标完成率100%。</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广大市民满意率满意度大于等于95%，圆满完成年度目标。</w:t>
      </w:r>
    </w:p>
    <w:p>
      <w:pPr>
        <w:pageBreakBefore w:val="0"/>
        <w:numPr>
          <w:ilvl w:val="0"/>
          <w:numId w:val="3"/>
        </w:numPr>
        <w:kinsoku/>
        <w:wordWrap/>
        <w:overflowPunct/>
        <w:topLinePunct w:val="0"/>
        <w:autoSpaceDE/>
        <w:autoSpaceDN/>
        <w:bidi w:val="0"/>
        <w:adjustRightInd/>
        <w:spacing w:line="560" w:lineRule="exact"/>
        <w:ind w:firstLine="640" w:firstLineChars="200"/>
        <w:contextualSpacing/>
        <w:rPr>
          <w:rFonts w:ascii="黑体" w:hAnsi="黑体" w:eastAsia="黑体" w:cs="黑体"/>
          <w:sz w:val="32"/>
          <w:szCs w:val="32"/>
        </w:rPr>
      </w:pPr>
      <w:r>
        <w:rPr>
          <w:rFonts w:hint="eastAsia" w:ascii="黑体" w:hAnsi="黑体" w:eastAsia="黑体" w:cs="黑体"/>
          <w:sz w:val="32"/>
          <w:szCs w:val="32"/>
        </w:rPr>
        <w:t>主要经验及做法、存在的问题及原因分析</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主要的经验及做法：一是拉近了广大人民群众和文化艺术的距离，越来越多的参观者走进文化馆、图书馆享受公共文化发展的成果；二是公共文化设施的利用率明显提高，培训、辅导人群明显增大；三是主动提供免费服务，通过改善群众服务设施条件，加强服务质量，增强服务意识，规范服务行为，提高服务标准和服务质量，得到了广大群众的拥护和赞誉。</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存在的问题</w:t>
      </w:r>
      <w:r>
        <w:rPr>
          <w:rFonts w:hint="eastAsia" w:ascii="仿宋_GB2312" w:hAnsi="仿宋" w:eastAsia="仿宋_GB2312" w:cs="仿宋"/>
          <w:sz w:val="32"/>
          <w:szCs w:val="32"/>
          <w:lang w:eastAsia="zh-CN"/>
        </w:rPr>
        <w:t>及原因分析</w:t>
      </w:r>
      <w:r>
        <w:rPr>
          <w:rFonts w:hint="eastAsia" w:ascii="仿宋_GB2312" w:hAnsi="仿宋" w:eastAsia="仿宋_GB2312" w:cs="仿宋"/>
          <w:sz w:val="32"/>
          <w:szCs w:val="32"/>
          <w:lang w:val="en-US" w:eastAsia="zh-CN"/>
        </w:rPr>
        <w:t>:</w:t>
      </w:r>
      <w:r>
        <w:rPr>
          <w:rFonts w:hint="eastAsia" w:ascii="仿宋_GB2312" w:hAnsi="仿宋" w:eastAsia="仿宋_GB2312" w:cs="仿宋"/>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绩效目标的设置应符合量化、细化的要求。</w:t>
      </w:r>
    </w:p>
    <w:p>
      <w:pPr>
        <w:pageBreakBefore w:val="0"/>
        <w:kinsoku/>
        <w:wordWrap/>
        <w:overflowPunct/>
        <w:topLinePunct w:val="0"/>
        <w:autoSpaceDE/>
        <w:autoSpaceDN/>
        <w:bidi w:val="0"/>
        <w:adjustRightInd/>
        <w:spacing w:line="560" w:lineRule="exact"/>
        <w:ind w:firstLine="640" w:firstLineChars="200"/>
        <w:contextualSpacing/>
        <w:rPr>
          <w:rFonts w:ascii="黑体" w:hAnsi="黑体" w:eastAsia="黑体" w:cs="黑体"/>
          <w:sz w:val="32"/>
          <w:szCs w:val="32"/>
        </w:rPr>
      </w:pPr>
      <w:r>
        <w:rPr>
          <w:rFonts w:hint="eastAsia" w:ascii="黑体" w:hAnsi="黑体" w:eastAsia="黑体" w:cs="黑体"/>
          <w:sz w:val="32"/>
          <w:szCs w:val="32"/>
        </w:rPr>
        <w:t>六、有关建议</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 建议加强项目预算审核，要严格按照项目资金年度额度编制预算；项目预算及支出管理的科学性有待进一步提高，做好项目实施过程中资金支出与预算的比较，定期向项目实施人员了解项目执行情况，更好的提高资金使用效率。</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 建议在进行绩效目标设定时，考虑成本指标的设置，社会效益指标的可衡量性，及时对项目运行情况进行监控，真正做到预算编制有目标、预算执行有跟踪监控、预算完成有评价、评价结果有反馈、反馈结果有应用。</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绩效是一项综合性、专业性较强系统工作，财务部门仅对资金的使用情况掌握，对项目具体情况及其实施情况了解甚少。建议绩效工作应当由单位综合部门负责（比如办公室、综合科等），可以协调单位内部各部门，一般对工程建设和资金情况都比较掌握。</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 绩效指标中效益评价指标一般适用于预算周期为一年的项目，当年项目完工，并能产生效益。而对于跨年度，特别是跨年较长的项目，当年没有完工，单元工程或分部工程（或单位工程）不能单独发挥作用，且没有效益产生，只有整体项目完工，通过其运行其效益逐渐凸显，故跨年项目，未完工，建设期没有效益的项目，无法评价项目的效益。建议财政绩效负责部门，能否在绩效报告、各类绩效指标表，及评价中，加以合理安排设置。</w:t>
      </w:r>
    </w:p>
    <w:p>
      <w:pPr>
        <w:pageBreakBefore w:val="0"/>
        <w:kinsoku/>
        <w:wordWrap/>
        <w:overflowPunct/>
        <w:topLinePunct w:val="0"/>
        <w:autoSpaceDE/>
        <w:autoSpaceDN/>
        <w:bidi w:val="0"/>
        <w:adjustRightInd/>
        <w:spacing w:line="560" w:lineRule="exact"/>
        <w:ind w:firstLine="640" w:firstLineChars="200"/>
        <w:contextualSpacing/>
        <w:rPr>
          <w:rFonts w:ascii="黑体" w:hAnsi="黑体" w:eastAsia="黑体" w:cs="黑体"/>
          <w:sz w:val="32"/>
          <w:szCs w:val="32"/>
        </w:rPr>
      </w:pPr>
      <w:r>
        <w:rPr>
          <w:rFonts w:hint="eastAsia" w:ascii="黑体" w:hAnsi="黑体" w:eastAsia="黑体" w:cs="黑体"/>
          <w:sz w:val="32"/>
          <w:szCs w:val="32"/>
        </w:rPr>
        <w:t>七、其他需要说明的问题</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本次预算绩效评价所采集的数据因为采集时间、数据来源等诸多因素的影响，可能会出现一定的偏差，进而对评价结果存在影响。</w:t>
      </w:r>
    </w:p>
    <w:tbl>
      <w:tblPr>
        <w:tblStyle w:val="12"/>
        <w:tblW w:w="9675" w:type="dxa"/>
        <w:tblInd w:w="0" w:type="dxa"/>
        <w:shd w:val="clear" w:color="auto" w:fill="auto"/>
        <w:tblLayout w:type="fixed"/>
        <w:tblCellMar>
          <w:top w:w="0" w:type="dxa"/>
          <w:left w:w="0" w:type="dxa"/>
          <w:bottom w:w="0" w:type="dxa"/>
          <w:right w:w="0" w:type="dxa"/>
        </w:tblCellMar>
      </w:tblPr>
      <w:tblGrid>
        <w:gridCol w:w="840"/>
        <w:gridCol w:w="840"/>
        <w:gridCol w:w="1155"/>
        <w:gridCol w:w="840"/>
        <w:gridCol w:w="840"/>
        <w:gridCol w:w="840"/>
        <w:gridCol w:w="840"/>
        <w:gridCol w:w="1680"/>
        <w:gridCol w:w="1800"/>
      </w:tblGrid>
      <w:tr>
        <w:tblPrEx>
          <w:shd w:val="clear" w:color="auto" w:fill="auto"/>
          <w:tblCellMar>
            <w:top w:w="0" w:type="dxa"/>
            <w:left w:w="0" w:type="dxa"/>
            <w:bottom w:w="0" w:type="dxa"/>
            <w:right w:w="0" w:type="dxa"/>
          </w:tblCellMar>
        </w:tblPrEx>
        <w:trPr>
          <w:trHeight w:val="409" w:hRule="atLeast"/>
        </w:trPr>
        <w:tc>
          <w:tcPr>
            <w:tcW w:w="9675"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09" w:hRule="atLeast"/>
        </w:trPr>
        <w:tc>
          <w:tcPr>
            <w:tcW w:w="9675"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99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塔城文化中心提升改造项目</w:t>
            </w:r>
          </w:p>
        </w:tc>
      </w:tr>
      <w:tr>
        <w:tblPrEx>
          <w:shd w:val="clear" w:color="auto" w:fill="auto"/>
          <w:tblCellMar>
            <w:top w:w="0" w:type="dxa"/>
            <w:left w:w="0" w:type="dxa"/>
            <w:bottom w:w="0" w:type="dxa"/>
            <w:right w:w="0" w:type="dxa"/>
          </w:tblCellMar>
        </w:tblPrEx>
        <w:trPr>
          <w:trHeight w:val="54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51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塔城地区文化体育广播电视和旅游局</w:t>
            </w:r>
          </w:p>
        </w:tc>
      </w:tr>
      <w:tr>
        <w:tblPrEx>
          <w:shd w:val="clear" w:color="auto" w:fill="auto"/>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19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270" w:hRule="atLeast"/>
        </w:trPr>
        <w:tc>
          <w:tcPr>
            <w:tcW w:w="16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9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shd w:val="clear" w:color="auto" w:fill="auto"/>
          <w:tblCellMar>
            <w:top w:w="0" w:type="dxa"/>
            <w:left w:w="0" w:type="dxa"/>
            <w:bottom w:w="0" w:type="dxa"/>
            <w:right w:w="0" w:type="dxa"/>
          </w:tblCellMar>
        </w:tblPrEx>
        <w:trPr>
          <w:trHeight w:val="473"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270"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35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12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35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项目改造文化中心四个展厅 3456平方米，其中改造手风琴展厅 900 平方米，改造油画展厅 836 平方米，改造书画苑 900 平方米,改造民俗展厅 820 平方米 及 附属设施设。</w:t>
            </w: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项目改造文化中心四个展厅 3456平方米，其中改造手风琴展厅 900 平方米，改造油画展厅 836 平方米，改造书画苑 900 平方米,改造民俗展厅 820 平方米 及 附属设施设。</w:t>
            </w:r>
          </w:p>
        </w:tc>
      </w:tr>
      <w:tr>
        <w:tblPrEx>
          <w:shd w:val="clear" w:color="auto" w:fill="auto"/>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165"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塔城地区文化中心提升改造展厅</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=4个</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工程完工率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该项目完成时限</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4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按照工程发票据实支付</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1000万元</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5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57"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保障文化中心楼内开展活动所需功能用房正常运行</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显著保障</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显著保障</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7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持续满足群众对精神文化的需求</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持续满足</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持续满足</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9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塔城市民对设施建设满意率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bl>
    <w:p>
      <w:pPr>
        <w:pStyle w:val="2"/>
        <w:pageBreakBefore w:val="0"/>
        <w:kinsoku/>
        <w:wordWrap/>
        <w:overflowPunct/>
        <w:topLinePunct w:val="0"/>
        <w:autoSpaceDE/>
        <w:autoSpaceDN/>
        <w:bidi w:val="0"/>
        <w:adjustRightInd/>
        <w:spacing w:line="560" w:lineRule="exact"/>
        <w:rPr>
          <w:rFonts w:ascii="仿宋_GB2312" w:hAnsi="仿宋" w:eastAsia="仿宋_GB2312" w:cs="仿宋"/>
          <w:sz w:val="32"/>
          <w:szCs w:val="32"/>
        </w:rPr>
      </w:pPr>
    </w:p>
    <w:p>
      <w:pPr>
        <w:pStyle w:val="2"/>
        <w:pageBreakBefore w:val="0"/>
        <w:kinsoku/>
        <w:wordWrap/>
        <w:overflowPunct/>
        <w:topLinePunct w:val="0"/>
        <w:autoSpaceDE/>
        <w:autoSpaceDN/>
        <w:bidi w:val="0"/>
        <w:adjustRightInd/>
        <w:spacing w:line="560" w:lineRule="exact"/>
        <w:rPr>
          <w:rFonts w:hint="eastAsia" w:ascii="仿宋_GB2312" w:hAnsi="仿宋" w:eastAsia="仿宋_GB2312" w:cs="仿宋"/>
          <w:sz w:val="32"/>
          <w:szCs w:val="32"/>
        </w:rPr>
      </w:pPr>
    </w:p>
    <w:p>
      <w:pPr>
        <w:pageBreakBefore w:val="0"/>
        <w:kinsoku/>
        <w:wordWrap/>
        <w:overflowPunct/>
        <w:topLinePunct w:val="0"/>
        <w:autoSpaceDE/>
        <w:autoSpaceDN/>
        <w:bidi w:val="0"/>
        <w:adjustRightInd/>
        <w:spacing w:line="560" w:lineRule="exact"/>
        <w:ind w:firstLine="640" w:firstLineChars="200"/>
        <w:contextualSpacing/>
        <w:rPr>
          <w:rFonts w:ascii="仿宋" w:hAnsi="仿宋" w:eastAsia="仿宋" w:cs="仿宋"/>
          <w:sz w:val="32"/>
          <w:szCs w:val="32"/>
        </w:rPr>
      </w:pPr>
    </w:p>
    <w:bookmarkEnd w:id="6"/>
    <w:p>
      <w:pPr>
        <w:pageBreakBefore w:val="0"/>
        <w:kinsoku/>
        <w:wordWrap/>
        <w:overflowPunct/>
        <w:topLinePunct w:val="0"/>
        <w:autoSpaceDE/>
        <w:autoSpaceDN/>
        <w:bidi w:val="0"/>
        <w:adjustRightInd/>
        <w:spacing w:line="560" w:lineRule="exact"/>
        <w:ind w:firstLine="640" w:firstLineChars="200"/>
        <w:outlineLvl w:val="0"/>
        <w:rPr>
          <w:rFonts w:ascii="仿宋" w:hAnsi="仿宋" w:eastAsia="仿宋" w:cs="仿宋"/>
          <w:sz w:val="32"/>
          <w:szCs w:val="32"/>
        </w:rPr>
      </w:pPr>
    </w:p>
    <w:p>
      <w:pPr>
        <w:pageBreakBefore w:val="0"/>
        <w:kinsoku/>
        <w:wordWrap/>
        <w:overflowPunct/>
        <w:topLinePunct w:val="0"/>
        <w:autoSpaceDE/>
        <w:autoSpaceDN/>
        <w:bidi w:val="0"/>
        <w:adjustRightInd/>
        <w:spacing w:line="560" w:lineRule="exact"/>
        <w:ind w:firstLine="640" w:firstLineChars="200"/>
        <w:outlineLvl w:val="0"/>
        <w:rPr>
          <w:rFonts w:ascii="仿宋" w:hAnsi="仿宋" w:eastAsia="仿宋"/>
          <w:sz w:val="32"/>
          <w:szCs w:val="32"/>
        </w:rPr>
      </w:pPr>
    </w:p>
    <w:p>
      <w:pPr>
        <w:pageBreakBefore w:val="0"/>
        <w:kinsoku/>
        <w:wordWrap/>
        <w:overflowPunct/>
        <w:topLinePunct w:val="0"/>
        <w:autoSpaceDE/>
        <w:autoSpaceDN/>
        <w:bidi w:val="0"/>
        <w:adjustRightInd/>
        <w:spacing w:line="560" w:lineRule="exact"/>
        <w:ind w:firstLine="640" w:firstLineChars="200"/>
        <w:outlineLvl w:val="0"/>
        <w:rPr>
          <w:rFonts w:ascii="仿宋" w:hAnsi="仿宋" w:eastAsia="仿宋"/>
          <w:sz w:val="32"/>
          <w:szCs w:val="32"/>
        </w:rPr>
      </w:pPr>
    </w:p>
    <w:p>
      <w:pPr>
        <w:pageBreakBefore w:val="0"/>
        <w:kinsoku/>
        <w:wordWrap/>
        <w:overflowPunct/>
        <w:topLinePunct w:val="0"/>
        <w:autoSpaceDE/>
        <w:autoSpaceDN/>
        <w:bidi w:val="0"/>
        <w:adjustRightInd/>
        <w:spacing w:line="560" w:lineRule="exact"/>
        <w:ind w:firstLine="640" w:firstLineChars="200"/>
        <w:outlineLvl w:val="0"/>
        <w:rPr>
          <w:rFonts w:ascii="仿宋" w:hAnsi="仿宋" w:eastAsia="仿宋"/>
          <w:sz w:val="32"/>
          <w:szCs w:val="32"/>
        </w:rPr>
      </w:pPr>
    </w:p>
    <w:p>
      <w:pPr>
        <w:pageBreakBefore w:val="0"/>
        <w:kinsoku/>
        <w:wordWrap/>
        <w:overflowPunct/>
        <w:topLinePunct w:val="0"/>
        <w:autoSpaceDE/>
        <w:autoSpaceDN/>
        <w:bidi w:val="0"/>
        <w:adjustRightInd/>
        <w:spacing w:line="560" w:lineRule="exact"/>
        <w:contextualSpacing/>
        <w:rPr>
          <w:rFonts w:ascii="方正黑体_GBK" w:hAnsi="黑体" w:eastAsia="方正黑体_GBK"/>
          <w:sz w:val="32"/>
          <w:szCs w:val="32"/>
        </w:rPr>
      </w:pPr>
    </w:p>
    <w:sectPr>
      <w:headerReference r:id="rId3" w:type="default"/>
      <w:footerReference r:id="rId4" w:type="default"/>
      <w:footerReference r:id="rId5" w:type="even"/>
      <w:pgSz w:w="11906" w:h="16838"/>
      <w:pgMar w:top="2098" w:right="1531" w:bottom="1985" w:left="1531" w:header="851" w:footer="992" w:gutter="0"/>
      <w:pgNumType w:fmt="numberInDash"/>
      <w:cols w:space="720" w:num="1"/>
      <w:docGrid w:type="lines" w:linePitch="579"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7D8731"/>
    <w:multiLevelType w:val="singleLevel"/>
    <w:tmpl w:val="A27D8731"/>
    <w:lvl w:ilvl="0" w:tentative="0">
      <w:start w:val="3"/>
      <w:numFmt w:val="chineseCounting"/>
      <w:suff w:val="nothing"/>
      <w:lvlText w:val="（%1）"/>
      <w:lvlJc w:val="left"/>
      <w:rPr>
        <w:rFonts w:hint="eastAsia"/>
      </w:rPr>
    </w:lvl>
  </w:abstractNum>
  <w:abstractNum w:abstractNumId="1">
    <w:nsid w:val="EC488DD2"/>
    <w:multiLevelType w:val="singleLevel"/>
    <w:tmpl w:val="EC488DD2"/>
    <w:lvl w:ilvl="0" w:tentative="0">
      <w:start w:val="3"/>
      <w:numFmt w:val="decimal"/>
      <w:suff w:val="nothing"/>
      <w:lvlText w:val="%1、"/>
      <w:lvlJc w:val="left"/>
      <w:pPr>
        <w:ind w:left="800" w:firstLine="0"/>
      </w:pPr>
    </w:lvl>
  </w:abstractNum>
  <w:abstractNum w:abstractNumId="2">
    <w:nsid w:val="0E4AE3B3"/>
    <w:multiLevelType w:val="singleLevel"/>
    <w:tmpl w:val="0E4AE3B3"/>
    <w:lvl w:ilvl="0" w:tentative="0">
      <w:start w:val="5"/>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0"/>
  <w:bordersDoNotSurroundFooter w:val="0"/>
  <w:documentProtection w:enforcement="0"/>
  <w:defaultTabStop w:val="420"/>
  <w:evenAndOddHeaders w:val="1"/>
  <w:drawingGridHorizontalSpacing w:val="158"/>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930CF"/>
    <w:rsid w:val="000A51CC"/>
    <w:rsid w:val="000F4112"/>
    <w:rsid w:val="00172A27"/>
    <w:rsid w:val="001908E9"/>
    <w:rsid w:val="00222088"/>
    <w:rsid w:val="002335C3"/>
    <w:rsid w:val="002A77DA"/>
    <w:rsid w:val="002F4A4A"/>
    <w:rsid w:val="00360030"/>
    <w:rsid w:val="00392ABE"/>
    <w:rsid w:val="003F29C1"/>
    <w:rsid w:val="00423917"/>
    <w:rsid w:val="00620F49"/>
    <w:rsid w:val="006C323A"/>
    <w:rsid w:val="006D0058"/>
    <w:rsid w:val="006D391A"/>
    <w:rsid w:val="00714386"/>
    <w:rsid w:val="00725034"/>
    <w:rsid w:val="00757E5C"/>
    <w:rsid w:val="007A5FF6"/>
    <w:rsid w:val="007C385A"/>
    <w:rsid w:val="00806494"/>
    <w:rsid w:val="0084369A"/>
    <w:rsid w:val="00867476"/>
    <w:rsid w:val="008C1578"/>
    <w:rsid w:val="008F6E3C"/>
    <w:rsid w:val="00913A39"/>
    <w:rsid w:val="00981C57"/>
    <w:rsid w:val="00A32625"/>
    <w:rsid w:val="00B15AB8"/>
    <w:rsid w:val="00B27295"/>
    <w:rsid w:val="00BB2F07"/>
    <w:rsid w:val="00BC0F8C"/>
    <w:rsid w:val="00C40045"/>
    <w:rsid w:val="00DA2657"/>
    <w:rsid w:val="00FD7C37"/>
    <w:rsid w:val="00FF51AC"/>
    <w:rsid w:val="03452060"/>
    <w:rsid w:val="03FA5526"/>
    <w:rsid w:val="052F67C9"/>
    <w:rsid w:val="05FF4FC9"/>
    <w:rsid w:val="062D0F32"/>
    <w:rsid w:val="072C187B"/>
    <w:rsid w:val="08215829"/>
    <w:rsid w:val="08547861"/>
    <w:rsid w:val="08CC4D5C"/>
    <w:rsid w:val="0A41398E"/>
    <w:rsid w:val="0D267009"/>
    <w:rsid w:val="0D4B03C7"/>
    <w:rsid w:val="0DB374EC"/>
    <w:rsid w:val="0EEA6F52"/>
    <w:rsid w:val="0F864EE8"/>
    <w:rsid w:val="11E20294"/>
    <w:rsid w:val="13E05F18"/>
    <w:rsid w:val="15863891"/>
    <w:rsid w:val="161D581B"/>
    <w:rsid w:val="170F65D8"/>
    <w:rsid w:val="18E02C69"/>
    <w:rsid w:val="1A8E21BE"/>
    <w:rsid w:val="1AB55CB3"/>
    <w:rsid w:val="1AC2227B"/>
    <w:rsid w:val="1DFA21B9"/>
    <w:rsid w:val="1FBD083E"/>
    <w:rsid w:val="21FE24FC"/>
    <w:rsid w:val="225E7916"/>
    <w:rsid w:val="229B0680"/>
    <w:rsid w:val="23DF6773"/>
    <w:rsid w:val="24605CAC"/>
    <w:rsid w:val="25004A5F"/>
    <w:rsid w:val="2614699A"/>
    <w:rsid w:val="26967C4C"/>
    <w:rsid w:val="279A29E5"/>
    <w:rsid w:val="291F1928"/>
    <w:rsid w:val="298E7794"/>
    <w:rsid w:val="2AB60476"/>
    <w:rsid w:val="2B871D4E"/>
    <w:rsid w:val="2B8B1787"/>
    <w:rsid w:val="2BF64459"/>
    <w:rsid w:val="2F1A6DFD"/>
    <w:rsid w:val="31666240"/>
    <w:rsid w:val="32CF68A3"/>
    <w:rsid w:val="3327165A"/>
    <w:rsid w:val="33FA6D6A"/>
    <w:rsid w:val="370E3532"/>
    <w:rsid w:val="3780399C"/>
    <w:rsid w:val="3B3B172A"/>
    <w:rsid w:val="3B8E5414"/>
    <w:rsid w:val="3C0C1CC3"/>
    <w:rsid w:val="3CC63DC5"/>
    <w:rsid w:val="3CF11F14"/>
    <w:rsid w:val="3D4A710C"/>
    <w:rsid w:val="3DC75E9D"/>
    <w:rsid w:val="3DDD54BB"/>
    <w:rsid w:val="3EC10612"/>
    <w:rsid w:val="3F7F1E56"/>
    <w:rsid w:val="434571E0"/>
    <w:rsid w:val="451C04AE"/>
    <w:rsid w:val="46BB69F3"/>
    <w:rsid w:val="481C7D39"/>
    <w:rsid w:val="484A0664"/>
    <w:rsid w:val="494C75C0"/>
    <w:rsid w:val="4B325EB4"/>
    <w:rsid w:val="4D4902DD"/>
    <w:rsid w:val="4FEF383A"/>
    <w:rsid w:val="504C5412"/>
    <w:rsid w:val="507839E1"/>
    <w:rsid w:val="5170458B"/>
    <w:rsid w:val="54A40D9D"/>
    <w:rsid w:val="55D76B31"/>
    <w:rsid w:val="56192BB7"/>
    <w:rsid w:val="565304DD"/>
    <w:rsid w:val="56F23B21"/>
    <w:rsid w:val="572850B8"/>
    <w:rsid w:val="59C21A95"/>
    <w:rsid w:val="5C56005C"/>
    <w:rsid w:val="5C7766A8"/>
    <w:rsid w:val="609D281F"/>
    <w:rsid w:val="60B725B2"/>
    <w:rsid w:val="6181436C"/>
    <w:rsid w:val="6570752B"/>
    <w:rsid w:val="658321B2"/>
    <w:rsid w:val="676B5FC6"/>
    <w:rsid w:val="684E392C"/>
    <w:rsid w:val="6ABC0477"/>
    <w:rsid w:val="6C0B47C7"/>
    <w:rsid w:val="6C734D1B"/>
    <w:rsid w:val="6CBF0737"/>
    <w:rsid w:val="6E6038C8"/>
    <w:rsid w:val="6EAE00FA"/>
    <w:rsid w:val="6EFC2E21"/>
    <w:rsid w:val="721E6D8C"/>
    <w:rsid w:val="73270419"/>
    <w:rsid w:val="76CD5D50"/>
    <w:rsid w:val="77BF19F3"/>
    <w:rsid w:val="78F1355A"/>
    <w:rsid w:val="7AB16AC8"/>
    <w:rsid w:val="7AE133DC"/>
    <w:rsid w:val="7B8B4C61"/>
    <w:rsid w:val="7C3F25F8"/>
    <w:rsid w:val="7E7277A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9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5">
    <w:name w:val="annotation text"/>
    <w:basedOn w:val="1"/>
    <w:link w:val="23"/>
    <w:semiHidden/>
    <w:unhideWhenUsed/>
    <w:qFormat/>
    <w:uiPriority w:val="99"/>
    <w:pPr>
      <w:jc w:val="left"/>
    </w:pPr>
  </w:style>
  <w:style w:type="paragraph" w:styleId="6">
    <w:name w:val="Plain Text"/>
    <w:basedOn w:val="1"/>
    <w:qFormat/>
    <w:uiPriority w:val="99"/>
    <w:rPr>
      <w:rFonts w:ascii="宋体" w:hAnsi="Courier New" w:eastAsia="仿宋_GB2312"/>
      <w:sz w:val="32"/>
      <w:szCs w:val="21"/>
    </w:rPr>
  </w:style>
  <w:style w:type="paragraph" w:styleId="7">
    <w:name w:val="Balloon Text"/>
    <w:basedOn w:val="1"/>
    <w:link w:val="25"/>
    <w:semiHidden/>
    <w:unhideWhenUsed/>
    <w:qFormat/>
    <w:uiPriority w:val="99"/>
    <w:rPr>
      <w:sz w:val="18"/>
      <w:szCs w:val="18"/>
    </w:rPr>
  </w:style>
  <w:style w:type="paragraph" w:styleId="8">
    <w:name w:val="footer"/>
    <w:basedOn w:val="1"/>
    <w:link w:val="17"/>
    <w:qFormat/>
    <w:uiPriority w:val="99"/>
    <w:pPr>
      <w:tabs>
        <w:tab w:val="center" w:pos="4153"/>
        <w:tab w:val="right" w:pos="8306"/>
      </w:tabs>
      <w:snapToGrid w:val="0"/>
      <w:jc w:val="left"/>
    </w:pPr>
    <w:rPr>
      <w:rFonts w:eastAsia="黑体" w:asciiTheme="minorHAnsi" w:hAnsiTheme="minorHAnsi" w:cstheme="minorBidi"/>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rPr>
      <w:sz w:val="24"/>
    </w:rPr>
  </w:style>
  <w:style w:type="paragraph" w:styleId="11">
    <w:name w:val="annotation subject"/>
    <w:basedOn w:val="5"/>
    <w:next w:val="5"/>
    <w:link w:val="24"/>
    <w:semiHidden/>
    <w:unhideWhenUsed/>
    <w:qFormat/>
    <w:uiPriority w:val="99"/>
    <w:rPr>
      <w:b/>
      <w:bCs/>
    </w:rPr>
  </w:style>
  <w:style w:type="character" w:styleId="14">
    <w:name w:val="Strong"/>
    <w:basedOn w:val="13"/>
    <w:qFormat/>
    <w:uiPriority w:val="22"/>
    <w:rPr>
      <w:b/>
      <w:bCs/>
    </w:rPr>
  </w:style>
  <w:style w:type="character" w:styleId="15">
    <w:name w:val="annotation reference"/>
    <w:basedOn w:val="13"/>
    <w:semiHidden/>
    <w:unhideWhenUsed/>
    <w:qFormat/>
    <w:uiPriority w:val="99"/>
    <w:rPr>
      <w:sz w:val="21"/>
      <w:szCs w:val="21"/>
    </w:rPr>
  </w:style>
  <w:style w:type="character" w:customStyle="1" w:styleId="16">
    <w:name w:val="页脚 Char"/>
    <w:qFormat/>
    <w:uiPriority w:val="99"/>
    <w:rPr>
      <w:rFonts w:eastAsia="黑体"/>
      <w:sz w:val="18"/>
      <w:szCs w:val="18"/>
    </w:rPr>
  </w:style>
  <w:style w:type="character" w:customStyle="1" w:styleId="17">
    <w:name w:val="页脚 字符"/>
    <w:basedOn w:val="13"/>
    <w:link w:val="8"/>
    <w:semiHidden/>
    <w:qFormat/>
    <w:uiPriority w:val="99"/>
    <w:rPr>
      <w:rFonts w:ascii="Calibri" w:hAnsi="Calibri" w:eastAsia="宋体" w:cs="Times New Roman"/>
      <w:sz w:val="18"/>
      <w:szCs w:val="18"/>
    </w:rPr>
  </w:style>
  <w:style w:type="character" w:customStyle="1" w:styleId="18">
    <w:name w:val="页眉 字符"/>
    <w:basedOn w:val="13"/>
    <w:link w:val="9"/>
    <w:qFormat/>
    <w:uiPriority w:val="99"/>
    <w:rPr>
      <w:rFonts w:ascii="Calibri" w:hAnsi="Calibri" w:eastAsia="宋体" w:cs="Times New Roman"/>
      <w:kern w:val="2"/>
      <w:sz w:val="18"/>
      <w:szCs w:val="18"/>
    </w:rPr>
  </w:style>
  <w:style w:type="paragraph" w:styleId="19">
    <w:name w:val="List Paragraph"/>
    <w:basedOn w:val="1"/>
    <w:qFormat/>
    <w:uiPriority w:val="99"/>
    <w:pPr>
      <w:ind w:firstLine="420" w:firstLineChars="200"/>
    </w:pPr>
  </w:style>
  <w:style w:type="character" w:customStyle="1" w:styleId="20">
    <w:name w:val="font31"/>
    <w:basedOn w:val="13"/>
    <w:qFormat/>
    <w:uiPriority w:val="0"/>
    <w:rPr>
      <w:rFonts w:hint="eastAsia" w:ascii="方正仿宋_GBK" w:hAnsi="方正仿宋_GBK" w:eastAsia="方正仿宋_GBK" w:cs="方正仿宋_GBK"/>
      <w:color w:val="000000"/>
      <w:sz w:val="24"/>
      <w:szCs w:val="24"/>
      <w:u w:val="none"/>
    </w:rPr>
  </w:style>
  <w:style w:type="paragraph" w:customStyle="1" w:styleId="21">
    <w:name w:val="Body Text First Indent 21"/>
    <w:basedOn w:val="22"/>
    <w:qFormat/>
    <w:uiPriority w:val="0"/>
    <w:pPr>
      <w:ind w:firstLine="200"/>
    </w:pPr>
  </w:style>
  <w:style w:type="paragraph" w:customStyle="1" w:styleId="22">
    <w:name w:val="Body Text Indent1"/>
    <w:basedOn w:val="1"/>
    <w:qFormat/>
    <w:uiPriority w:val="0"/>
    <w:pPr>
      <w:spacing w:after="120"/>
      <w:ind w:left="420" w:leftChars="200"/>
    </w:pPr>
  </w:style>
  <w:style w:type="character" w:customStyle="1" w:styleId="23">
    <w:name w:val="批注文字 字符"/>
    <w:basedOn w:val="13"/>
    <w:link w:val="5"/>
    <w:semiHidden/>
    <w:qFormat/>
    <w:uiPriority w:val="99"/>
    <w:rPr>
      <w:rFonts w:ascii="Calibri" w:hAnsi="Calibri"/>
      <w:kern w:val="2"/>
      <w:sz w:val="21"/>
      <w:szCs w:val="24"/>
    </w:rPr>
  </w:style>
  <w:style w:type="character" w:customStyle="1" w:styleId="24">
    <w:name w:val="批注主题 字符"/>
    <w:basedOn w:val="23"/>
    <w:link w:val="11"/>
    <w:semiHidden/>
    <w:qFormat/>
    <w:uiPriority w:val="99"/>
    <w:rPr>
      <w:rFonts w:ascii="Calibri" w:hAnsi="Calibri"/>
      <w:b/>
      <w:bCs/>
      <w:kern w:val="2"/>
      <w:sz w:val="21"/>
      <w:szCs w:val="24"/>
    </w:rPr>
  </w:style>
  <w:style w:type="character" w:customStyle="1" w:styleId="25">
    <w:name w:val="批注框文本 字符"/>
    <w:basedOn w:val="13"/>
    <w:link w:val="7"/>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1167</Words>
  <Characters>6653</Characters>
  <Lines>55</Lines>
  <Paragraphs>15</Paragraphs>
  <TotalTime>7</TotalTime>
  <ScaleCrop>false</ScaleCrop>
  <LinksUpToDate>false</LinksUpToDate>
  <CharactersWithSpaces>7805</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2020-03-25T11:26:00Z</dcterms:created>
  <dc:creator>颜娜</dc:creator>
  <cp:lastModifiedBy>Administrator</cp:lastModifiedBy>
  <cp:lastPrinted>2021-04-08T09:48:00Z</cp:lastPrinted>
  <dcterms:modified xsi:type="dcterms:W3CDTF">2025-09-04T12:04:59Z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FAAA5C89C06E4B409C567C736EBF484F</vt:lpwstr>
  </property>
</Properties>
</file>